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130" w:rsidRPr="0030682E" w:rsidRDefault="00240130" w:rsidP="00240130">
      <w:pPr>
        <w:tabs>
          <w:tab w:val="left" w:pos="567"/>
        </w:tabs>
        <w:jc w:val="center"/>
        <w:rPr>
          <w:b/>
          <w:color w:val="000000"/>
        </w:rPr>
      </w:pPr>
      <w:r w:rsidRPr="0030682E">
        <w:rPr>
          <w:b/>
          <w:color w:val="000000"/>
        </w:rPr>
        <w:t>Сообщение</w:t>
      </w:r>
    </w:p>
    <w:p w:rsidR="00F4198D" w:rsidRPr="0030682E" w:rsidRDefault="00240130" w:rsidP="00240130">
      <w:pPr>
        <w:tabs>
          <w:tab w:val="left" w:pos="567"/>
        </w:tabs>
        <w:jc w:val="center"/>
        <w:rPr>
          <w:b/>
          <w:color w:val="000000"/>
        </w:rPr>
      </w:pPr>
      <w:r w:rsidRPr="0030682E">
        <w:rPr>
          <w:b/>
          <w:color w:val="000000"/>
        </w:rPr>
        <w:t>«О проведении заседания совета директоров (наблюдательного совета) эмитента и его повестке дня, а также об отдельных решениях, принятых советом директоров (наблюдательным советом) эмитента»</w:t>
      </w: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48"/>
        <w:gridCol w:w="5670"/>
      </w:tblGrid>
      <w:tr w:rsidR="00743266" w:rsidRPr="0030682E" w:rsidTr="00F667D4">
        <w:tc>
          <w:tcPr>
            <w:tcW w:w="10518" w:type="dxa"/>
            <w:gridSpan w:val="2"/>
            <w:vAlign w:val="center"/>
          </w:tcPr>
          <w:p w:rsidR="00743266" w:rsidRPr="0030682E" w:rsidRDefault="00743266" w:rsidP="0091279B">
            <w:pPr>
              <w:tabs>
                <w:tab w:val="left" w:pos="567"/>
              </w:tabs>
              <w:jc w:val="center"/>
            </w:pPr>
            <w:r w:rsidRPr="0030682E">
              <w:t>1. Общие сведения</w:t>
            </w:r>
          </w:p>
        </w:tc>
      </w:tr>
      <w:tr w:rsidR="00477D59" w:rsidRPr="0030682E" w:rsidTr="003F709B">
        <w:tc>
          <w:tcPr>
            <w:tcW w:w="4848" w:type="dxa"/>
            <w:vAlign w:val="center"/>
          </w:tcPr>
          <w:p w:rsidR="00477D59" w:rsidRPr="0030682E" w:rsidRDefault="00477D59" w:rsidP="00477D59">
            <w:pPr>
              <w:ind w:left="142"/>
            </w:pPr>
            <w:r w:rsidRPr="0030682E">
              <w:t>1.1. Полное фирменное наименование эмитента</w:t>
            </w:r>
          </w:p>
        </w:tc>
        <w:tc>
          <w:tcPr>
            <w:tcW w:w="5670" w:type="dxa"/>
          </w:tcPr>
          <w:p w:rsidR="00477D59" w:rsidRPr="00103295" w:rsidRDefault="00477D59" w:rsidP="00477D59">
            <w:pPr>
              <w:ind w:left="57"/>
              <w:jc w:val="center"/>
              <w:rPr>
                <w:sz w:val="22"/>
                <w:szCs w:val="22"/>
              </w:rPr>
            </w:pPr>
            <w:r w:rsidRPr="00103295">
              <w:rPr>
                <w:b/>
                <w:bCs/>
                <w:i/>
                <w:iCs/>
                <w:sz w:val="22"/>
                <w:szCs w:val="22"/>
              </w:rPr>
              <w:t>Публичное акционерное общество Нефтегазовая компания "РуссНефть"</w:t>
            </w:r>
          </w:p>
        </w:tc>
      </w:tr>
      <w:tr w:rsidR="00477D59" w:rsidRPr="0030682E" w:rsidTr="009F0AD3">
        <w:tc>
          <w:tcPr>
            <w:tcW w:w="4848" w:type="dxa"/>
            <w:vAlign w:val="center"/>
          </w:tcPr>
          <w:p w:rsidR="00477D59" w:rsidRPr="0030682E" w:rsidRDefault="00477D59" w:rsidP="00477D59">
            <w:pPr>
              <w:ind w:left="142"/>
            </w:pPr>
            <w:r w:rsidRPr="0030682E">
              <w:t>1.2. Адрес эмитента, указанный в едином государственном реестре юридических лиц</w:t>
            </w:r>
          </w:p>
        </w:tc>
        <w:tc>
          <w:tcPr>
            <w:tcW w:w="5670" w:type="dxa"/>
            <w:vAlign w:val="center"/>
          </w:tcPr>
          <w:p w:rsidR="00477D59" w:rsidRPr="00103295" w:rsidRDefault="00477D59" w:rsidP="00477D59">
            <w:pPr>
              <w:ind w:left="57"/>
              <w:jc w:val="center"/>
              <w:rPr>
                <w:sz w:val="22"/>
                <w:szCs w:val="22"/>
              </w:rPr>
            </w:pPr>
            <w:r w:rsidRPr="00103295">
              <w:rPr>
                <w:b/>
                <w:bCs/>
                <w:i/>
                <w:iCs/>
                <w:sz w:val="22"/>
                <w:szCs w:val="22"/>
              </w:rPr>
              <w:t>115054, г. Москва, ул. Пятницкая, д. 69</w:t>
            </w:r>
          </w:p>
        </w:tc>
      </w:tr>
      <w:tr w:rsidR="00477D59" w:rsidRPr="0030682E" w:rsidTr="003F709B">
        <w:tc>
          <w:tcPr>
            <w:tcW w:w="4848" w:type="dxa"/>
            <w:vAlign w:val="center"/>
          </w:tcPr>
          <w:p w:rsidR="00477D59" w:rsidRPr="0030682E" w:rsidRDefault="00477D59" w:rsidP="00477D59">
            <w:pPr>
              <w:ind w:left="142"/>
            </w:pPr>
            <w:r w:rsidRPr="0030682E">
              <w:t xml:space="preserve">1.3. Основной государственный регистрационный номер (ОГРН) эмитента </w:t>
            </w:r>
          </w:p>
        </w:tc>
        <w:tc>
          <w:tcPr>
            <w:tcW w:w="5670" w:type="dxa"/>
          </w:tcPr>
          <w:p w:rsidR="00477D59" w:rsidRPr="00103295" w:rsidRDefault="00477D59" w:rsidP="00477D59">
            <w:pPr>
              <w:ind w:left="57"/>
              <w:jc w:val="center"/>
              <w:rPr>
                <w:sz w:val="22"/>
                <w:szCs w:val="22"/>
              </w:rPr>
            </w:pPr>
            <w:r w:rsidRPr="00103295">
              <w:rPr>
                <w:b/>
                <w:bCs/>
                <w:i/>
                <w:iCs/>
                <w:sz w:val="22"/>
                <w:szCs w:val="22"/>
              </w:rPr>
              <w:t>1027717003467</w:t>
            </w:r>
          </w:p>
        </w:tc>
      </w:tr>
      <w:tr w:rsidR="00477D59" w:rsidRPr="0030682E" w:rsidTr="003F709B">
        <w:tc>
          <w:tcPr>
            <w:tcW w:w="4848" w:type="dxa"/>
            <w:vAlign w:val="center"/>
          </w:tcPr>
          <w:p w:rsidR="00477D59" w:rsidRPr="0030682E" w:rsidRDefault="00477D59" w:rsidP="00477D59">
            <w:pPr>
              <w:ind w:left="142"/>
            </w:pPr>
            <w:r w:rsidRPr="0030682E">
              <w:t xml:space="preserve">1.4. Идентификационный номер налогоплательщика (ИНН) эмитента </w:t>
            </w:r>
          </w:p>
        </w:tc>
        <w:tc>
          <w:tcPr>
            <w:tcW w:w="5670" w:type="dxa"/>
          </w:tcPr>
          <w:p w:rsidR="00477D59" w:rsidRPr="00103295" w:rsidRDefault="00477D59" w:rsidP="00477D59">
            <w:pPr>
              <w:ind w:left="57"/>
              <w:jc w:val="center"/>
              <w:rPr>
                <w:sz w:val="22"/>
                <w:szCs w:val="22"/>
              </w:rPr>
            </w:pPr>
            <w:r w:rsidRPr="00103295">
              <w:rPr>
                <w:b/>
                <w:bCs/>
                <w:i/>
                <w:iCs/>
                <w:sz w:val="22"/>
                <w:szCs w:val="22"/>
              </w:rPr>
              <w:t>7717133960</w:t>
            </w:r>
          </w:p>
        </w:tc>
      </w:tr>
      <w:tr w:rsidR="00477D59" w:rsidRPr="0030682E" w:rsidTr="009F0AD3">
        <w:tc>
          <w:tcPr>
            <w:tcW w:w="4848" w:type="dxa"/>
            <w:vAlign w:val="center"/>
          </w:tcPr>
          <w:p w:rsidR="00477D59" w:rsidRPr="0030682E" w:rsidRDefault="00477D59" w:rsidP="00477D59">
            <w:pPr>
              <w:ind w:left="142"/>
            </w:pPr>
            <w:r w:rsidRPr="0030682E">
              <w:t>1.5. Уникальный код эмитента, присвоенный Банком России</w:t>
            </w:r>
          </w:p>
        </w:tc>
        <w:tc>
          <w:tcPr>
            <w:tcW w:w="5670" w:type="dxa"/>
            <w:vAlign w:val="center"/>
          </w:tcPr>
          <w:p w:rsidR="00477D59" w:rsidRPr="00103295" w:rsidRDefault="00477D59" w:rsidP="00477D59">
            <w:pPr>
              <w:ind w:left="57"/>
              <w:jc w:val="center"/>
              <w:rPr>
                <w:sz w:val="22"/>
                <w:szCs w:val="22"/>
              </w:rPr>
            </w:pPr>
            <w:r w:rsidRPr="00103295">
              <w:rPr>
                <w:b/>
                <w:bCs/>
                <w:i/>
                <w:iCs/>
                <w:sz w:val="22"/>
                <w:szCs w:val="22"/>
              </w:rPr>
              <w:t>39134-Н</w:t>
            </w:r>
          </w:p>
        </w:tc>
      </w:tr>
      <w:tr w:rsidR="00477D59" w:rsidRPr="0030682E" w:rsidTr="003F709B">
        <w:tc>
          <w:tcPr>
            <w:tcW w:w="4848" w:type="dxa"/>
            <w:vAlign w:val="center"/>
          </w:tcPr>
          <w:p w:rsidR="00477D59" w:rsidRPr="0030682E" w:rsidRDefault="00477D59" w:rsidP="00477D59">
            <w:pPr>
              <w:ind w:left="142"/>
            </w:pPr>
            <w:r w:rsidRPr="0030682E">
              <w:t>1.6. Адрес страницы в сети "Интернет", используемой эмитентом для раскрытия информации</w:t>
            </w:r>
          </w:p>
        </w:tc>
        <w:tc>
          <w:tcPr>
            <w:tcW w:w="5670" w:type="dxa"/>
          </w:tcPr>
          <w:p w:rsidR="00477D59" w:rsidRPr="00103295" w:rsidRDefault="00A9794D" w:rsidP="00477D59">
            <w:pPr>
              <w:ind w:left="57"/>
              <w:rPr>
                <w:b/>
                <w:i/>
                <w:sz w:val="22"/>
                <w:szCs w:val="22"/>
              </w:rPr>
            </w:pPr>
            <w:hyperlink r:id="rId7" w:history="1">
              <w:r w:rsidR="00477D59" w:rsidRPr="00103295">
                <w:rPr>
                  <w:rStyle w:val="ae"/>
                  <w:b/>
                  <w:i/>
                  <w:sz w:val="22"/>
                  <w:szCs w:val="22"/>
                  <w:lang w:val="en-US"/>
                </w:rPr>
                <w:t>http</w:t>
              </w:r>
              <w:r w:rsidR="00477D59" w:rsidRPr="00103295">
                <w:rPr>
                  <w:rStyle w:val="ae"/>
                  <w:b/>
                  <w:i/>
                  <w:sz w:val="22"/>
                  <w:szCs w:val="22"/>
                </w:rPr>
                <w:t>://</w:t>
              </w:r>
              <w:r w:rsidR="00477D59" w:rsidRPr="00103295">
                <w:rPr>
                  <w:rStyle w:val="ae"/>
                  <w:b/>
                  <w:i/>
                  <w:sz w:val="22"/>
                  <w:szCs w:val="22"/>
                  <w:lang w:val="en-US"/>
                </w:rPr>
                <w:t>www</w:t>
              </w:r>
              <w:r w:rsidR="00477D59" w:rsidRPr="00103295">
                <w:rPr>
                  <w:rStyle w:val="ae"/>
                  <w:b/>
                  <w:i/>
                  <w:sz w:val="22"/>
                  <w:szCs w:val="22"/>
                </w:rPr>
                <w:t>.</w:t>
              </w:r>
              <w:r w:rsidR="00477D59" w:rsidRPr="00103295">
                <w:rPr>
                  <w:rStyle w:val="ae"/>
                  <w:b/>
                  <w:i/>
                  <w:sz w:val="22"/>
                  <w:szCs w:val="22"/>
                  <w:lang w:val="en-US"/>
                </w:rPr>
                <w:t>e</w:t>
              </w:r>
              <w:r w:rsidR="00477D59" w:rsidRPr="00103295">
                <w:rPr>
                  <w:rStyle w:val="ae"/>
                  <w:b/>
                  <w:i/>
                  <w:sz w:val="22"/>
                  <w:szCs w:val="22"/>
                </w:rPr>
                <w:t>-</w:t>
              </w:r>
              <w:r w:rsidR="00477D59" w:rsidRPr="00103295">
                <w:rPr>
                  <w:rStyle w:val="ae"/>
                  <w:b/>
                  <w:i/>
                  <w:sz w:val="22"/>
                  <w:szCs w:val="22"/>
                  <w:lang w:val="en-US"/>
                </w:rPr>
                <w:t>disclosure</w:t>
              </w:r>
              <w:r w:rsidR="00477D59" w:rsidRPr="00103295">
                <w:rPr>
                  <w:rStyle w:val="ae"/>
                  <w:b/>
                  <w:i/>
                  <w:sz w:val="22"/>
                  <w:szCs w:val="22"/>
                </w:rPr>
                <w:t>.</w:t>
              </w:r>
              <w:proofErr w:type="spellStart"/>
              <w:r w:rsidR="00477D59" w:rsidRPr="00103295">
                <w:rPr>
                  <w:rStyle w:val="ae"/>
                  <w:b/>
                  <w:i/>
                  <w:sz w:val="22"/>
                  <w:szCs w:val="22"/>
                  <w:lang w:val="en-US"/>
                </w:rPr>
                <w:t>ru</w:t>
              </w:r>
              <w:proofErr w:type="spellEnd"/>
              <w:r w:rsidR="00477D59" w:rsidRPr="00103295">
                <w:rPr>
                  <w:rStyle w:val="ae"/>
                  <w:b/>
                  <w:i/>
                  <w:sz w:val="22"/>
                  <w:szCs w:val="22"/>
                </w:rPr>
                <w:t>/</w:t>
              </w:r>
              <w:r w:rsidR="00477D59" w:rsidRPr="00103295">
                <w:rPr>
                  <w:rStyle w:val="ae"/>
                  <w:b/>
                  <w:i/>
                  <w:sz w:val="22"/>
                  <w:szCs w:val="22"/>
                  <w:lang w:val="en-US"/>
                </w:rPr>
                <w:t>portal</w:t>
              </w:r>
              <w:r w:rsidR="00477D59" w:rsidRPr="00103295">
                <w:rPr>
                  <w:rStyle w:val="ae"/>
                  <w:b/>
                  <w:i/>
                  <w:sz w:val="22"/>
                  <w:szCs w:val="22"/>
                </w:rPr>
                <w:t>/</w:t>
              </w:r>
              <w:r w:rsidR="00477D59" w:rsidRPr="00103295">
                <w:rPr>
                  <w:rStyle w:val="ae"/>
                  <w:b/>
                  <w:i/>
                  <w:sz w:val="22"/>
                  <w:szCs w:val="22"/>
                  <w:lang w:val="en-US"/>
                </w:rPr>
                <w:t>company</w:t>
              </w:r>
              <w:r w:rsidR="00477D59" w:rsidRPr="00103295">
                <w:rPr>
                  <w:rStyle w:val="ae"/>
                  <w:b/>
                  <w:i/>
                  <w:sz w:val="22"/>
                  <w:szCs w:val="22"/>
                </w:rPr>
                <w:t>.</w:t>
              </w:r>
              <w:proofErr w:type="spellStart"/>
              <w:r w:rsidR="00477D59" w:rsidRPr="00103295">
                <w:rPr>
                  <w:rStyle w:val="ae"/>
                  <w:b/>
                  <w:i/>
                  <w:sz w:val="22"/>
                  <w:szCs w:val="22"/>
                  <w:lang w:val="en-US"/>
                </w:rPr>
                <w:t>aspx</w:t>
              </w:r>
              <w:proofErr w:type="spellEnd"/>
              <w:r w:rsidR="00477D59" w:rsidRPr="00103295">
                <w:rPr>
                  <w:rStyle w:val="ae"/>
                  <w:b/>
                  <w:i/>
                  <w:sz w:val="22"/>
                  <w:szCs w:val="22"/>
                </w:rPr>
                <w:t>?</w:t>
              </w:r>
              <w:r w:rsidR="00477D59" w:rsidRPr="00103295">
                <w:rPr>
                  <w:rStyle w:val="ae"/>
                  <w:b/>
                  <w:i/>
                  <w:sz w:val="22"/>
                  <w:szCs w:val="22"/>
                  <w:lang w:val="en-US"/>
                </w:rPr>
                <w:t>id</w:t>
              </w:r>
              <w:r w:rsidR="00477D59" w:rsidRPr="00103295">
                <w:rPr>
                  <w:rStyle w:val="ae"/>
                  <w:b/>
                  <w:i/>
                  <w:sz w:val="22"/>
                  <w:szCs w:val="22"/>
                </w:rPr>
                <w:t>=534</w:t>
              </w:r>
            </w:hyperlink>
            <w:r w:rsidR="00477D59" w:rsidRPr="00103295">
              <w:rPr>
                <w:b/>
                <w:i/>
                <w:sz w:val="22"/>
                <w:szCs w:val="22"/>
              </w:rPr>
              <w:t>;</w:t>
            </w:r>
          </w:p>
          <w:p w:rsidR="00477D59" w:rsidRPr="00103295" w:rsidRDefault="00A9794D" w:rsidP="00477D59">
            <w:pPr>
              <w:ind w:left="57"/>
              <w:jc w:val="center"/>
              <w:rPr>
                <w:b/>
                <w:i/>
                <w:sz w:val="22"/>
                <w:szCs w:val="22"/>
              </w:rPr>
            </w:pPr>
            <w:hyperlink r:id="rId8" w:history="1">
              <w:r w:rsidR="00477D59" w:rsidRPr="00103295">
                <w:rPr>
                  <w:rStyle w:val="ae"/>
                  <w:b/>
                  <w:i/>
                  <w:sz w:val="22"/>
                  <w:szCs w:val="22"/>
                </w:rPr>
                <w:t>http://www.russneft.ru/</w:t>
              </w:r>
            </w:hyperlink>
          </w:p>
        </w:tc>
      </w:tr>
      <w:tr w:rsidR="00477D59" w:rsidRPr="0030682E" w:rsidTr="009F0AD3">
        <w:tc>
          <w:tcPr>
            <w:tcW w:w="4848" w:type="dxa"/>
            <w:tcBorders>
              <w:top w:val="single" w:sz="4" w:space="0" w:color="auto"/>
              <w:left w:val="single" w:sz="4" w:space="0" w:color="auto"/>
              <w:bottom w:val="single" w:sz="4" w:space="0" w:color="auto"/>
              <w:right w:val="single" w:sz="4" w:space="0" w:color="auto"/>
            </w:tcBorders>
            <w:vAlign w:val="center"/>
          </w:tcPr>
          <w:p w:rsidR="00477D59" w:rsidRPr="0030682E" w:rsidRDefault="00477D59" w:rsidP="00477D59">
            <w:pPr>
              <w:ind w:left="142"/>
            </w:pPr>
            <w:r w:rsidRPr="0030682E">
              <w:t>1.7. Дата наступления события (существенного факта), о котором составлено сообщение</w:t>
            </w:r>
          </w:p>
        </w:tc>
        <w:tc>
          <w:tcPr>
            <w:tcW w:w="5670" w:type="dxa"/>
            <w:tcBorders>
              <w:top w:val="single" w:sz="4" w:space="0" w:color="auto"/>
              <w:left w:val="single" w:sz="4" w:space="0" w:color="auto"/>
              <w:bottom w:val="single" w:sz="4" w:space="0" w:color="auto"/>
              <w:right w:val="single" w:sz="4" w:space="0" w:color="auto"/>
            </w:tcBorders>
            <w:vAlign w:val="center"/>
          </w:tcPr>
          <w:p w:rsidR="00477D59" w:rsidRPr="00103295" w:rsidRDefault="00477D59" w:rsidP="00477D59">
            <w:pPr>
              <w:adjustRightInd w:val="0"/>
              <w:jc w:val="center"/>
              <w:rPr>
                <w:b/>
                <w:i/>
                <w:sz w:val="22"/>
                <w:szCs w:val="22"/>
                <w:lang w:val="en-US"/>
              </w:rPr>
            </w:pPr>
            <w:r>
              <w:rPr>
                <w:b/>
                <w:bCs/>
                <w:i/>
                <w:iCs/>
                <w:sz w:val="22"/>
                <w:szCs w:val="22"/>
              </w:rPr>
              <w:t>25</w:t>
            </w:r>
            <w:r w:rsidRPr="00103295">
              <w:rPr>
                <w:b/>
                <w:bCs/>
                <w:i/>
                <w:iCs/>
                <w:sz w:val="22"/>
                <w:szCs w:val="22"/>
              </w:rPr>
              <w:t>.</w:t>
            </w:r>
            <w:r w:rsidRPr="00103295">
              <w:rPr>
                <w:b/>
                <w:bCs/>
                <w:i/>
                <w:iCs/>
                <w:sz w:val="22"/>
                <w:szCs w:val="22"/>
                <w:lang w:val="en-US"/>
              </w:rPr>
              <w:t>0</w:t>
            </w:r>
            <w:r>
              <w:rPr>
                <w:b/>
                <w:bCs/>
                <w:i/>
                <w:iCs/>
                <w:sz w:val="22"/>
                <w:szCs w:val="22"/>
              </w:rPr>
              <w:t>5</w:t>
            </w:r>
            <w:r w:rsidRPr="00103295">
              <w:rPr>
                <w:b/>
                <w:i/>
                <w:sz w:val="22"/>
                <w:szCs w:val="22"/>
              </w:rPr>
              <w:t>.202</w:t>
            </w:r>
            <w:r w:rsidRPr="00103295">
              <w:rPr>
                <w:b/>
                <w:i/>
                <w:sz w:val="22"/>
                <w:szCs w:val="22"/>
                <w:lang w:val="en-US"/>
              </w:rPr>
              <w:t>6</w:t>
            </w:r>
          </w:p>
        </w:tc>
      </w:tr>
    </w:tbl>
    <w:p w:rsidR="00743266" w:rsidRPr="0030682E" w:rsidRDefault="00743266" w:rsidP="0091279B">
      <w:pPr>
        <w:tabs>
          <w:tab w:val="left" w:pos="567"/>
        </w:tabs>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29"/>
        <w:gridCol w:w="448"/>
        <w:gridCol w:w="293"/>
        <w:gridCol w:w="1318"/>
        <w:gridCol w:w="415"/>
        <w:gridCol w:w="435"/>
        <w:gridCol w:w="426"/>
        <w:gridCol w:w="1984"/>
        <w:gridCol w:w="851"/>
        <w:gridCol w:w="2835"/>
        <w:gridCol w:w="284"/>
      </w:tblGrid>
      <w:tr w:rsidR="00743266" w:rsidRPr="0030682E" w:rsidTr="00813B7E">
        <w:trPr>
          <w:trHeight w:val="203"/>
        </w:trPr>
        <w:tc>
          <w:tcPr>
            <w:tcW w:w="10518" w:type="dxa"/>
            <w:gridSpan w:val="11"/>
          </w:tcPr>
          <w:p w:rsidR="00743266" w:rsidRPr="0030682E" w:rsidRDefault="00743266" w:rsidP="0091279B">
            <w:pPr>
              <w:tabs>
                <w:tab w:val="left" w:pos="567"/>
              </w:tabs>
              <w:jc w:val="center"/>
            </w:pPr>
            <w:r w:rsidRPr="0030682E">
              <w:t>2. Содержание сообщения</w:t>
            </w:r>
          </w:p>
        </w:tc>
      </w:tr>
      <w:tr w:rsidR="00743266" w:rsidRPr="0030682E" w:rsidTr="00603B6C">
        <w:trPr>
          <w:trHeight w:val="2971"/>
        </w:trPr>
        <w:tc>
          <w:tcPr>
            <w:tcW w:w="10518" w:type="dxa"/>
            <w:gridSpan w:val="11"/>
            <w:shd w:val="clear" w:color="auto" w:fill="auto"/>
          </w:tcPr>
          <w:p w:rsidR="00240130" w:rsidRPr="003D07D4" w:rsidRDefault="00240130" w:rsidP="003D07D4">
            <w:pPr>
              <w:tabs>
                <w:tab w:val="left" w:pos="567"/>
              </w:tabs>
              <w:ind w:left="142" w:right="114"/>
              <w:jc w:val="both"/>
              <w:rPr>
                <w:sz w:val="24"/>
                <w:szCs w:val="24"/>
              </w:rPr>
            </w:pPr>
            <w:r w:rsidRPr="003D07D4">
              <w:rPr>
                <w:sz w:val="24"/>
                <w:szCs w:val="24"/>
              </w:rPr>
              <w:t>Сообщение об отдельных решениях, принятых советом директоров (наблюдательным советом) эмитента</w:t>
            </w:r>
          </w:p>
          <w:p w:rsidR="00396DD8" w:rsidRPr="003D07D4" w:rsidRDefault="00396DD8" w:rsidP="003D07D4">
            <w:pPr>
              <w:tabs>
                <w:tab w:val="left" w:pos="567"/>
              </w:tabs>
              <w:ind w:left="142" w:right="114"/>
              <w:jc w:val="both"/>
              <w:rPr>
                <w:sz w:val="24"/>
                <w:szCs w:val="24"/>
              </w:rPr>
            </w:pPr>
            <w:r w:rsidRPr="003D07D4">
              <w:rPr>
                <w:sz w:val="24"/>
                <w:szCs w:val="24"/>
              </w:rPr>
              <w:t xml:space="preserve">2.1. Кворум заседания совета директоров (наблюдательного совета) эмитента и результаты голосования по вопросам о принятии решений, предусмотренных </w:t>
            </w:r>
            <w:hyperlink r:id="rId9" w:history="1">
              <w:r w:rsidRPr="003D07D4">
                <w:rPr>
                  <w:sz w:val="24"/>
                  <w:szCs w:val="24"/>
                </w:rPr>
                <w:t>пунктом 15.1</w:t>
              </w:r>
            </w:hyperlink>
            <w:r w:rsidRPr="003D07D4">
              <w:rPr>
                <w:sz w:val="24"/>
                <w:szCs w:val="24"/>
              </w:rPr>
              <w:t xml:space="preserve"> Положения о раскрытии информации эмитентами эмиссионных ценных бумаг: </w:t>
            </w:r>
          </w:p>
          <w:p w:rsidR="00396DD8" w:rsidRPr="003D07D4" w:rsidRDefault="00396DD8" w:rsidP="003D07D4">
            <w:pPr>
              <w:tabs>
                <w:tab w:val="left" w:pos="567"/>
              </w:tabs>
              <w:ind w:left="142" w:right="114"/>
              <w:jc w:val="both"/>
              <w:rPr>
                <w:b/>
                <w:i/>
                <w:sz w:val="24"/>
                <w:szCs w:val="24"/>
              </w:rPr>
            </w:pPr>
            <w:r w:rsidRPr="003D07D4">
              <w:rPr>
                <w:sz w:val="24"/>
                <w:szCs w:val="24"/>
              </w:rPr>
              <w:t xml:space="preserve">Кворум заседания совета директоров. </w:t>
            </w:r>
            <w:r w:rsidRPr="003D07D4">
              <w:rPr>
                <w:b/>
                <w:i/>
                <w:sz w:val="24"/>
                <w:szCs w:val="24"/>
              </w:rPr>
              <w:t xml:space="preserve">На заседании Совета директоров из </w:t>
            </w:r>
            <w:r w:rsidR="00477D59" w:rsidRPr="003D07D4">
              <w:rPr>
                <w:b/>
                <w:i/>
                <w:sz w:val="24"/>
                <w:szCs w:val="24"/>
              </w:rPr>
              <w:t>11</w:t>
            </w:r>
            <w:r w:rsidRPr="003D07D4">
              <w:rPr>
                <w:b/>
                <w:i/>
                <w:sz w:val="24"/>
                <w:szCs w:val="24"/>
              </w:rPr>
              <w:t xml:space="preserve"> членов Совета директоров присутствовало</w:t>
            </w:r>
            <w:r w:rsidR="00477D59" w:rsidRPr="003D07D4">
              <w:rPr>
                <w:b/>
                <w:i/>
                <w:sz w:val="24"/>
                <w:szCs w:val="24"/>
              </w:rPr>
              <w:t xml:space="preserve"> 1</w:t>
            </w:r>
            <w:r w:rsidR="00A9794D">
              <w:rPr>
                <w:b/>
                <w:i/>
                <w:sz w:val="24"/>
                <w:szCs w:val="24"/>
              </w:rPr>
              <w:t>0</w:t>
            </w:r>
            <w:r w:rsidR="00F938FE" w:rsidRPr="003D07D4">
              <w:rPr>
                <w:b/>
                <w:i/>
                <w:sz w:val="24"/>
                <w:szCs w:val="24"/>
              </w:rPr>
              <w:t>.</w:t>
            </w:r>
            <w:r w:rsidRPr="003D07D4">
              <w:rPr>
                <w:b/>
                <w:i/>
                <w:sz w:val="24"/>
                <w:szCs w:val="24"/>
              </w:rPr>
              <w:t xml:space="preserve"> Кворум имеется.</w:t>
            </w:r>
          </w:p>
          <w:p w:rsidR="00E35F0D" w:rsidRPr="003D07D4" w:rsidRDefault="00396DD8" w:rsidP="003D07D4">
            <w:pPr>
              <w:ind w:left="142" w:right="114"/>
              <w:jc w:val="both"/>
              <w:rPr>
                <w:b/>
                <w:bCs/>
                <w:color w:val="000000" w:themeColor="text1"/>
                <w:sz w:val="24"/>
                <w:szCs w:val="24"/>
              </w:rPr>
            </w:pPr>
            <w:r w:rsidRPr="003D07D4">
              <w:rPr>
                <w:sz w:val="24"/>
                <w:szCs w:val="24"/>
              </w:rPr>
              <w:t>Результаты голосования по вопросу повестки дня</w:t>
            </w:r>
            <w:r w:rsidRPr="003D07D4">
              <w:rPr>
                <w:b/>
                <w:sz w:val="24"/>
                <w:szCs w:val="24"/>
              </w:rPr>
              <w:t xml:space="preserve"> </w:t>
            </w:r>
            <w:r w:rsidR="00E35F0D" w:rsidRPr="003D07D4">
              <w:rPr>
                <w:b/>
                <w:bCs/>
                <w:sz w:val="24"/>
                <w:szCs w:val="24"/>
              </w:rPr>
              <w:t>«</w:t>
            </w:r>
            <w:r w:rsidR="00A9794D" w:rsidRPr="003D07D4">
              <w:rPr>
                <w:b/>
                <w:bCs/>
                <w:i/>
                <w:sz w:val="24"/>
                <w:szCs w:val="24"/>
              </w:rPr>
              <w:t>Рекомендации годовому заседанию общего собрания акционеров ПАО НК «РуссНефть» по размеру дивиденда и порядку его выплаты</w:t>
            </w:r>
            <w:bookmarkStart w:id="0" w:name="_GoBack"/>
            <w:bookmarkEnd w:id="0"/>
            <w:r w:rsidR="007B0096" w:rsidRPr="003D07D4">
              <w:rPr>
                <w:b/>
                <w:i/>
                <w:iCs/>
                <w:color w:val="000000" w:themeColor="text1"/>
                <w:sz w:val="24"/>
                <w:szCs w:val="24"/>
              </w:rPr>
              <w:t>»</w:t>
            </w:r>
            <w:r w:rsidR="007B0096" w:rsidRPr="003D07D4">
              <w:rPr>
                <w:b/>
                <w:bCs/>
                <w:color w:val="000000" w:themeColor="text1"/>
                <w:sz w:val="24"/>
                <w:szCs w:val="24"/>
              </w:rPr>
              <w:t>:</w:t>
            </w:r>
            <w:r w:rsidR="00E35F0D" w:rsidRPr="003D07D4">
              <w:rPr>
                <w:b/>
                <w:bCs/>
                <w:color w:val="000000" w:themeColor="text1"/>
                <w:sz w:val="24"/>
                <w:szCs w:val="24"/>
              </w:rPr>
              <w:t xml:space="preserve"> </w:t>
            </w:r>
          </w:p>
          <w:p w:rsidR="006F41C7" w:rsidRPr="003D07D4" w:rsidRDefault="006F41C7" w:rsidP="00DA7094">
            <w:pPr>
              <w:tabs>
                <w:tab w:val="left" w:pos="567"/>
              </w:tabs>
              <w:ind w:left="142" w:right="114"/>
              <w:jc w:val="both"/>
              <w:rPr>
                <w:b/>
                <w:i/>
                <w:color w:val="000000" w:themeColor="text1"/>
                <w:spacing w:val="-4"/>
                <w:sz w:val="24"/>
                <w:szCs w:val="24"/>
              </w:rPr>
            </w:pPr>
            <w:r w:rsidRPr="003D07D4">
              <w:rPr>
                <w:b/>
                <w:i/>
                <w:color w:val="000000" w:themeColor="text1"/>
                <w:spacing w:val="-4"/>
                <w:sz w:val="24"/>
                <w:szCs w:val="24"/>
              </w:rPr>
              <w:t>«З</w:t>
            </w:r>
            <w:r w:rsidR="00B05227" w:rsidRPr="003D07D4">
              <w:rPr>
                <w:b/>
                <w:i/>
                <w:color w:val="000000" w:themeColor="text1"/>
                <w:spacing w:val="-4"/>
                <w:sz w:val="24"/>
                <w:szCs w:val="24"/>
              </w:rPr>
              <w:t>а</w:t>
            </w:r>
            <w:r w:rsidRPr="003D07D4">
              <w:rPr>
                <w:b/>
                <w:i/>
                <w:color w:val="000000" w:themeColor="text1"/>
                <w:spacing w:val="-4"/>
                <w:sz w:val="24"/>
                <w:szCs w:val="24"/>
              </w:rPr>
              <w:t xml:space="preserve">» </w:t>
            </w:r>
            <w:r w:rsidR="00F667D4" w:rsidRPr="003D07D4">
              <w:rPr>
                <w:b/>
                <w:i/>
                <w:color w:val="000000" w:themeColor="text1"/>
                <w:spacing w:val="-4"/>
                <w:sz w:val="24"/>
                <w:szCs w:val="24"/>
              </w:rPr>
              <w:t xml:space="preserve">- </w:t>
            </w:r>
            <w:r w:rsidR="00F938FE" w:rsidRPr="003D07D4">
              <w:rPr>
                <w:b/>
                <w:i/>
                <w:color w:val="000000" w:themeColor="text1"/>
                <w:spacing w:val="-4"/>
                <w:sz w:val="24"/>
                <w:szCs w:val="24"/>
              </w:rPr>
              <w:t>100</w:t>
            </w:r>
            <w:r w:rsidR="00F707CC" w:rsidRPr="003D07D4">
              <w:rPr>
                <w:b/>
                <w:i/>
                <w:color w:val="000000" w:themeColor="text1"/>
                <w:spacing w:val="-4"/>
                <w:sz w:val="24"/>
                <w:szCs w:val="24"/>
              </w:rPr>
              <w:t xml:space="preserve">% </w:t>
            </w:r>
            <w:r w:rsidRPr="003D07D4">
              <w:rPr>
                <w:b/>
                <w:i/>
                <w:color w:val="000000" w:themeColor="text1"/>
                <w:sz w:val="24"/>
                <w:szCs w:val="24"/>
              </w:rPr>
              <w:t>голосов</w:t>
            </w:r>
            <w:r w:rsidRPr="003D07D4">
              <w:rPr>
                <w:b/>
                <w:i/>
                <w:color w:val="000000" w:themeColor="text1"/>
                <w:spacing w:val="-4"/>
                <w:sz w:val="24"/>
                <w:szCs w:val="24"/>
              </w:rPr>
              <w:t>; «Против» - 0</w:t>
            </w:r>
            <w:r w:rsidR="004C5F0D" w:rsidRPr="003D07D4">
              <w:rPr>
                <w:b/>
                <w:i/>
                <w:color w:val="000000" w:themeColor="text1"/>
                <w:spacing w:val="-4"/>
                <w:sz w:val="24"/>
                <w:szCs w:val="24"/>
              </w:rPr>
              <w:t>%</w:t>
            </w:r>
            <w:r w:rsidRPr="003D07D4">
              <w:rPr>
                <w:b/>
                <w:i/>
                <w:color w:val="000000" w:themeColor="text1"/>
                <w:spacing w:val="-4"/>
                <w:sz w:val="24"/>
                <w:szCs w:val="24"/>
              </w:rPr>
              <w:t xml:space="preserve"> голосов; «Воздержался» - 0</w:t>
            </w:r>
            <w:r w:rsidR="004C5F0D" w:rsidRPr="003D07D4">
              <w:rPr>
                <w:b/>
                <w:i/>
                <w:color w:val="000000" w:themeColor="text1"/>
                <w:spacing w:val="-4"/>
                <w:sz w:val="24"/>
                <w:szCs w:val="24"/>
              </w:rPr>
              <w:t>%</w:t>
            </w:r>
            <w:r w:rsidRPr="003D07D4">
              <w:rPr>
                <w:b/>
                <w:i/>
                <w:color w:val="000000" w:themeColor="text1"/>
                <w:spacing w:val="-4"/>
                <w:sz w:val="24"/>
                <w:szCs w:val="24"/>
              </w:rPr>
              <w:t xml:space="preserve"> голосов.</w:t>
            </w:r>
          </w:p>
          <w:p w:rsidR="00057C55" w:rsidRPr="003D07D4" w:rsidRDefault="00057C55" w:rsidP="00057C55">
            <w:pPr>
              <w:tabs>
                <w:tab w:val="left" w:pos="567"/>
              </w:tabs>
              <w:ind w:left="142" w:right="256"/>
              <w:jc w:val="both"/>
              <w:rPr>
                <w:sz w:val="24"/>
                <w:szCs w:val="24"/>
              </w:rPr>
            </w:pPr>
            <w:r w:rsidRPr="003D07D4">
              <w:rPr>
                <w:sz w:val="24"/>
                <w:szCs w:val="24"/>
              </w:rPr>
              <w:t xml:space="preserve">2.2. Содержание решений, предусмотренных </w:t>
            </w:r>
            <w:hyperlink r:id="rId10" w:history="1">
              <w:r w:rsidRPr="003D07D4">
                <w:rPr>
                  <w:sz w:val="24"/>
                  <w:szCs w:val="24"/>
                </w:rPr>
                <w:t>пунктом 15.1</w:t>
              </w:r>
            </w:hyperlink>
            <w:r w:rsidRPr="003D07D4">
              <w:rPr>
                <w:sz w:val="24"/>
                <w:szCs w:val="24"/>
              </w:rPr>
              <w:t xml:space="preserve"> Положения о раскрытии информации эмитентами эмиссионных ценных бумаг, принятых советом директоров (наблюдательным советом) эмитента: </w:t>
            </w:r>
          </w:p>
          <w:p w:rsidR="00057C55" w:rsidRPr="003D07D4" w:rsidRDefault="00057C55" w:rsidP="00057C55">
            <w:pPr>
              <w:adjustRightInd w:val="0"/>
              <w:ind w:left="142" w:right="256"/>
              <w:jc w:val="both"/>
              <w:rPr>
                <w:b/>
                <w:sz w:val="24"/>
                <w:szCs w:val="24"/>
              </w:rPr>
            </w:pPr>
            <w:r w:rsidRPr="003D07D4">
              <w:rPr>
                <w:sz w:val="24"/>
                <w:szCs w:val="24"/>
              </w:rPr>
              <w:t xml:space="preserve">По вопросу повестки дня </w:t>
            </w:r>
            <w:r w:rsidRPr="003D07D4">
              <w:rPr>
                <w:b/>
                <w:i/>
                <w:sz w:val="24"/>
                <w:szCs w:val="24"/>
              </w:rPr>
              <w:t>«</w:t>
            </w:r>
            <w:r w:rsidRPr="003D07D4">
              <w:rPr>
                <w:b/>
                <w:bCs/>
                <w:i/>
                <w:sz w:val="24"/>
                <w:szCs w:val="24"/>
              </w:rPr>
              <w:t>Рекомендации годовому заседанию общего собрания акционеров ПАО НК «РуссНефть» по размеру дивиденда и порядку его выплаты»</w:t>
            </w:r>
            <w:r w:rsidRPr="003D07D4">
              <w:rPr>
                <w:b/>
                <w:sz w:val="24"/>
                <w:szCs w:val="24"/>
              </w:rPr>
              <w:t>:</w:t>
            </w:r>
          </w:p>
          <w:p w:rsidR="00057C55" w:rsidRPr="003D07D4" w:rsidRDefault="00057C55" w:rsidP="00057C55">
            <w:pPr>
              <w:adjustRightInd w:val="0"/>
              <w:ind w:left="142" w:right="256"/>
              <w:jc w:val="both"/>
              <w:rPr>
                <w:b/>
                <w:i/>
                <w:sz w:val="24"/>
                <w:szCs w:val="24"/>
              </w:rPr>
            </w:pPr>
            <w:r w:rsidRPr="003D07D4">
              <w:rPr>
                <w:b/>
                <w:i/>
                <w:sz w:val="24"/>
                <w:szCs w:val="24"/>
              </w:rPr>
              <w:t>4.1. Рекомендовать общему собранию акционеров ПАО НК «РуссНефть»:</w:t>
            </w:r>
          </w:p>
          <w:p w:rsidR="00057C55" w:rsidRPr="003D07D4" w:rsidRDefault="00057C55" w:rsidP="00057C55">
            <w:pPr>
              <w:adjustRightInd w:val="0"/>
              <w:ind w:left="142" w:right="256"/>
              <w:jc w:val="both"/>
              <w:rPr>
                <w:b/>
                <w:i/>
                <w:color w:val="000000" w:themeColor="text1"/>
                <w:sz w:val="24"/>
                <w:szCs w:val="24"/>
              </w:rPr>
            </w:pPr>
            <w:r w:rsidRPr="003D07D4">
              <w:rPr>
                <w:b/>
                <w:i/>
                <w:sz w:val="24"/>
                <w:szCs w:val="24"/>
              </w:rPr>
              <w:t>4.1.1</w:t>
            </w:r>
            <w:r w:rsidRPr="003D07D4">
              <w:rPr>
                <w:b/>
                <w:i/>
                <w:color w:val="000000" w:themeColor="text1"/>
                <w:sz w:val="24"/>
                <w:szCs w:val="24"/>
              </w:rPr>
              <w:t xml:space="preserve">. Из чистой прибыли в сумме 7 752 425 тыс. рублей, полученной по результатам 2025 года, направить 70 миллионов долларов США (по курсу Банка России, установленному на дату фактической выплаты дивидендов) на выплату дивидендов по привилегированным акциям ПАО НК «РуссНефть». Оставшуюся часть чистой прибыли не распределять. </w:t>
            </w:r>
            <w:r w:rsidRPr="003D07D4">
              <w:rPr>
                <w:b/>
                <w:i/>
                <w:iCs/>
                <w:color w:val="000000" w:themeColor="text1"/>
                <w:sz w:val="24"/>
                <w:szCs w:val="24"/>
              </w:rPr>
              <w:t>В случае, если при фактической выплате дивидендов конвертация по курсу Банка России повлечет недостаточность суммы чистой прибыли за 2025 год, на выплату недостающей части направить часть нераспределенной прибыли по итогам 2024 года.</w:t>
            </w:r>
            <w:r w:rsidRPr="003D07D4">
              <w:rPr>
                <w:b/>
                <w:i/>
                <w:color w:val="000000" w:themeColor="text1"/>
                <w:sz w:val="24"/>
                <w:szCs w:val="24"/>
              </w:rPr>
              <w:t xml:space="preserve">  </w:t>
            </w:r>
          </w:p>
          <w:p w:rsidR="00057C55" w:rsidRPr="003D07D4" w:rsidRDefault="00057C55" w:rsidP="00057C55">
            <w:pPr>
              <w:adjustRightInd w:val="0"/>
              <w:ind w:left="142" w:right="256"/>
              <w:jc w:val="both"/>
              <w:rPr>
                <w:b/>
                <w:i/>
                <w:color w:val="000000" w:themeColor="text1"/>
                <w:sz w:val="24"/>
                <w:szCs w:val="24"/>
              </w:rPr>
            </w:pPr>
            <w:r w:rsidRPr="003D07D4">
              <w:rPr>
                <w:b/>
                <w:i/>
                <w:color w:val="000000" w:themeColor="text1"/>
                <w:sz w:val="24"/>
                <w:szCs w:val="24"/>
              </w:rPr>
              <w:t>Дивиденды по обыкновенным акциям не выплачивать.</w:t>
            </w:r>
          </w:p>
          <w:p w:rsidR="00057C55" w:rsidRPr="003D07D4" w:rsidRDefault="00057C55" w:rsidP="00057C55">
            <w:pPr>
              <w:adjustRightInd w:val="0"/>
              <w:ind w:left="142" w:right="256"/>
              <w:jc w:val="both"/>
              <w:rPr>
                <w:b/>
                <w:i/>
                <w:color w:val="000000" w:themeColor="text1"/>
                <w:sz w:val="24"/>
                <w:szCs w:val="24"/>
              </w:rPr>
            </w:pPr>
            <w:r w:rsidRPr="003D07D4">
              <w:rPr>
                <w:b/>
                <w:i/>
                <w:color w:val="000000" w:themeColor="text1"/>
                <w:sz w:val="24"/>
                <w:szCs w:val="24"/>
              </w:rPr>
              <w:t>4.1.2. Утвердить 16 июля 2026 года в качестве даты определения лиц, имеющих право на получение дивидендов.</w:t>
            </w:r>
          </w:p>
          <w:p w:rsidR="00534251" w:rsidRPr="003D07D4" w:rsidRDefault="00057C55" w:rsidP="00057C55">
            <w:pPr>
              <w:adjustRightInd w:val="0"/>
              <w:ind w:left="142" w:right="256"/>
              <w:jc w:val="both"/>
              <w:rPr>
                <w:b/>
                <w:i/>
                <w:sz w:val="24"/>
                <w:szCs w:val="24"/>
              </w:rPr>
            </w:pPr>
            <w:r w:rsidRPr="003D07D4">
              <w:rPr>
                <w:b/>
                <w:i/>
                <w:color w:val="000000" w:themeColor="text1"/>
                <w:sz w:val="24"/>
                <w:szCs w:val="24"/>
              </w:rPr>
              <w:t xml:space="preserve">4.1.3. В соответствии с п. 6.3.1 Устава ПАО НК «РуссНефть» выплату дивидендов по привилегированным акциям ПАО НК «РуссНефть» по результатам 2025 года осуществить в денежной форме из расчета 0,7140525543 долларов США на одну привилегированную акцию ПАО НК «РуссНефть» по курсу Банка России, установленному </w:t>
            </w:r>
            <w:r w:rsidRPr="003D07D4">
              <w:rPr>
                <w:b/>
                <w:i/>
                <w:sz w:val="24"/>
                <w:szCs w:val="24"/>
              </w:rPr>
              <w:t xml:space="preserve">на дату фактической выплаты дивидендов, в сроки, установленные законодательством, почтовыми или банковскими переводами по реквизитам акционера. </w:t>
            </w:r>
          </w:p>
          <w:p w:rsidR="00743266" w:rsidRPr="003D07D4" w:rsidRDefault="00410621" w:rsidP="003D07D4">
            <w:pPr>
              <w:tabs>
                <w:tab w:val="left" w:pos="567"/>
              </w:tabs>
              <w:ind w:left="142" w:right="114"/>
              <w:jc w:val="both"/>
              <w:rPr>
                <w:b/>
                <w:i/>
                <w:sz w:val="24"/>
                <w:szCs w:val="24"/>
              </w:rPr>
            </w:pPr>
            <w:r w:rsidRPr="003D07D4">
              <w:rPr>
                <w:sz w:val="24"/>
                <w:szCs w:val="24"/>
              </w:rPr>
              <w:t>2.3</w:t>
            </w:r>
            <w:r w:rsidR="00743266" w:rsidRPr="003D07D4">
              <w:rPr>
                <w:sz w:val="24"/>
                <w:szCs w:val="24"/>
              </w:rPr>
              <w:t xml:space="preserve">. Дата проведения заседания совета директоров (наблюдательного совета) эмитента, на котором приняты соответствующие </w:t>
            </w:r>
            <w:r w:rsidR="00BA6188" w:rsidRPr="003D07D4">
              <w:rPr>
                <w:sz w:val="24"/>
                <w:szCs w:val="24"/>
              </w:rPr>
              <w:t>решения:</w:t>
            </w:r>
            <w:r w:rsidR="00F646DD" w:rsidRPr="003D07D4">
              <w:rPr>
                <w:b/>
                <w:sz w:val="24"/>
                <w:szCs w:val="24"/>
              </w:rPr>
              <w:t xml:space="preserve"> </w:t>
            </w:r>
            <w:r w:rsidR="00477D59" w:rsidRPr="003D07D4">
              <w:rPr>
                <w:b/>
                <w:i/>
                <w:sz w:val="24"/>
                <w:szCs w:val="24"/>
              </w:rPr>
              <w:t>2</w:t>
            </w:r>
            <w:r w:rsidR="00457309" w:rsidRPr="003D07D4">
              <w:rPr>
                <w:b/>
                <w:i/>
                <w:sz w:val="24"/>
                <w:szCs w:val="24"/>
              </w:rPr>
              <w:t>5</w:t>
            </w:r>
            <w:r w:rsidR="0047183F" w:rsidRPr="003D07D4">
              <w:rPr>
                <w:b/>
                <w:i/>
                <w:sz w:val="24"/>
                <w:szCs w:val="24"/>
              </w:rPr>
              <w:t>.0</w:t>
            </w:r>
            <w:r w:rsidR="00810B93" w:rsidRPr="003D07D4">
              <w:rPr>
                <w:b/>
                <w:i/>
                <w:sz w:val="24"/>
                <w:szCs w:val="24"/>
              </w:rPr>
              <w:t>5</w:t>
            </w:r>
            <w:r w:rsidR="00457309" w:rsidRPr="003D07D4">
              <w:rPr>
                <w:b/>
                <w:i/>
                <w:sz w:val="24"/>
                <w:szCs w:val="24"/>
              </w:rPr>
              <w:t>.202</w:t>
            </w:r>
            <w:r w:rsidR="00534251" w:rsidRPr="003D07D4">
              <w:rPr>
                <w:b/>
                <w:i/>
                <w:sz w:val="24"/>
                <w:szCs w:val="24"/>
              </w:rPr>
              <w:t>6</w:t>
            </w:r>
            <w:r w:rsidR="007A3F5F" w:rsidRPr="003D07D4">
              <w:rPr>
                <w:b/>
                <w:i/>
                <w:sz w:val="24"/>
                <w:szCs w:val="24"/>
              </w:rPr>
              <w:t>.</w:t>
            </w:r>
          </w:p>
          <w:p w:rsidR="00EF5358" w:rsidRPr="003D07D4" w:rsidRDefault="00410621" w:rsidP="003D07D4">
            <w:pPr>
              <w:tabs>
                <w:tab w:val="left" w:pos="567"/>
              </w:tabs>
              <w:ind w:left="142" w:right="114"/>
              <w:jc w:val="both"/>
              <w:rPr>
                <w:b/>
                <w:i/>
                <w:sz w:val="24"/>
                <w:szCs w:val="24"/>
              </w:rPr>
            </w:pPr>
            <w:r w:rsidRPr="003D07D4">
              <w:rPr>
                <w:sz w:val="24"/>
                <w:szCs w:val="24"/>
              </w:rPr>
              <w:t>2.4</w:t>
            </w:r>
            <w:r w:rsidR="00743266" w:rsidRPr="003D07D4">
              <w:rPr>
                <w:sz w:val="24"/>
                <w:szCs w:val="24"/>
              </w:rPr>
              <w:t>. Дата составления и номер протокола заседания совета директоров (наблюдательного совета) эмитента, на котором приняты соответствующие решения:</w:t>
            </w:r>
            <w:r w:rsidR="00037704" w:rsidRPr="003D07D4">
              <w:rPr>
                <w:sz w:val="24"/>
                <w:szCs w:val="24"/>
              </w:rPr>
              <w:t xml:space="preserve"> </w:t>
            </w:r>
            <w:r w:rsidR="00477D59" w:rsidRPr="003D07D4">
              <w:rPr>
                <w:b/>
                <w:i/>
                <w:sz w:val="24"/>
                <w:szCs w:val="24"/>
              </w:rPr>
              <w:t>25</w:t>
            </w:r>
            <w:r w:rsidR="00F92CA8" w:rsidRPr="003D07D4">
              <w:rPr>
                <w:b/>
                <w:i/>
                <w:sz w:val="24"/>
                <w:szCs w:val="24"/>
              </w:rPr>
              <w:t>.0</w:t>
            </w:r>
            <w:r w:rsidR="003145C2" w:rsidRPr="003D07D4">
              <w:rPr>
                <w:b/>
                <w:i/>
                <w:sz w:val="24"/>
                <w:szCs w:val="24"/>
              </w:rPr>
              <w:t>5</w:t>
            </w:r>
            <w:r w:rsidR="00457309" w:rsidRPr="003D07D4">
              <w:rPr>
                <w:b/>
                <w:i/>
                <w:sz w:val="24"/>
                <w:szCs w:val="24"/>
              </w:rPr>
              <w:t>.202</w:t>
            </w:r>
            <w:r w:rsidR="00534251" w:rsidRPr="003D07D4">
              <w:rPr>
                <w:b/>
                <w:i/>
                <w:sz w:val="24"/>
                <w:szCs w:val="24"/>
              </w:rPr>
              <w:t>6</w:t>
            </w:r>
            <w:r w:rsidR="00235041" w:rsidRPr="003D07D4">
              <w:rPr>
                <w:b/>
                <w:i/>
                <w:sz w:val="24"/>
                <w:szCs w:val="24"/>
              </w:rPr>
              <w:t>,</w:t>
            </w:r>
            <w:r w:rsidR="00235041" w:rsidRPr="003D07D4">
              <w:rPr>
                <w:i/>
                <w:sz w:val="24"/>
                <w:szCs w:val="24"/>
              </w:rPr>
              <w:t xml:space="preserve"> </w:t>
            </w:r>
            <w:r w:rsidR="00037704" w:rsidRPr="003D07D4">
              <w:rPr>
                <w:b/>
                <w:i/>
                <w:sz w:val="24"/>
                <w:szCs w:val="24"/>
              </w:rPr>
              <w:t>Протокол заседания С</w:t>
            </w:r>
            <w:r w:rsidR="00743266" w:rsidRPr="003D07D4">
              <w:rPr>
                <w:b/>
                <w:i/>
                <w:sz w:val="24"/>
                <w:szCs w:val="24"/>
              </w:rPr>
              <w:t>овета дирек</w:t>
            </w:r>
            <w:r w:rsidR="00902FCD" w:rsidRPr="003D07D4">
              <w:rPr>
                <w:b/>
                <w:i/>
                <w:sz w:val="24"/>
                <w:szCs w:val="24"/>
              </w:rPr>
              <w:t xml:space="preserve">торов </w:t>
            </w:r>
            <w:r w:rsidR="00477D59" w:rsidRPr="003D07D4">
              <w:rPr>
                <w:b/>
                <w:i/>
                <w:sz w:val="24"/>
                <w:szCs w:val="24"/>
              </w:rPr>
              <w:t xml:space="preserve">ПАО НК "РуссНефть" </w:t>
            </w:r>
            <w:r w:rsidR="00985C4C" w:rsidRPr="003D07D4">
              <w:rPr>
                <w:b/>
                <w:i/>
                <w:sz w:val="24"/>
                <w:szCs w:val="24"/>
              </w:rPr>
              <w:t xml:space="preserve">№ </w:t>
            </w:r>
            <w:r w:rsidR="00057C55" w:rsidRPr="003D07D4">
              <w:rPr>
                <w:b/>
                <w:i/>
                <w:sz w:val="24"/>
                <w:szCs w:val="24"/>
              </w:rPr>
              <w:t>28</w:t>
            </w:r>
            <w:r w:rsidR="00037704" w:rsidRPr="003D07D4">
              <w:rPr>
                <w:b/>
                <w:i/>
                <w:sz w:val="24"/>
                <w:szCs w:val="24"/>
              </w:rPr>
              <w:t>.</w:t>
            </w:r>
          </w:p>
          <w:p w:rsidR="00766746" w:rsidRPr="003D07D4" w:rsidRDefault="00766746" w:rsidP="003D07D4">
            <w:pPr>
              <w:adjustRightInd w:val="0"/>
              <w:ind w:left="142" w:right="114"/>
              <w:jc w:val="both"/>
              <w:rPr>
                <w:sz w:val="24"/>
                <w:szCs w:val="24"/>
              </w:rPr>
            </w:pPr>
            <w:r w:rsidRPr="003D07D4">
              <w:rPr>
                <w:sz w:val="24"/>
                <w:szCs w:val="24"/>
              </w:rPr>
              <w:lastRenderedPageBreak/>
              <w:t>2.5.</w:t>
            </w:r>
            <w:r w:rsidRPr="003D07D4">
              <w:rPr>
                <w:b/>
                <w:sz w:val="24"/>
                <w:szCs w:val="24"/>
              </w:rPr>
              <w:t xml:space="preserve"> </w:t>
            </w:r>
            <w:r w:rsidRPr="003D07D4">
              <w:rPr>
                <w:sz w:val="24"/>
                <w:szCs w:val="24"/>
              </w:rPr>
              <w:t xml:space="preserve">Идентификационные признаки ценных бумаг эмитента, с осуществлением прав по которым, связана повестка дня заседания совета директоров (наблюдательного совета) эмитента: </w:t>
            </w:r>
            <w:r w:rsidR="00477D59" w:rsidRPr="003D07D4">
              <w:rPr>
                <w:b/>
                <w:i/>
                <w:sz w:val="24"/>
                <w:szCs w:val="24"/>
              </w:rPr>
              <w:t>акции обыкновенные именные бездокументарные, государственный регистрационный номер 1-02-39134-Н, дата государственной регистрации 05.10.2016; международный код (номер) идентификации ценных бумаг (ISIN): RU000А0JSE60, международный код классификации финансовых инструментов (CFI): ESVXFR, акции привилегированные именные бездокументарные, государственный регистрационный номер 2-03-39134-Н, дата государственной регистрации 28.11.2019, международный код (номер) идентификации ценных бумаг (ISIN): RU000A1014F0; международный код классификации финансовых инструментов (CFI): EPXXXR.</w:t>
            </w:r>
          </w:p>
        </w:tc>
      </w:tr>
      <w:tr w:rsidR="00F4198D" w:rsidRPr="0030682E" w:rsidTr="00535B13">
        <w:trPr>
          <w:cantSplit/>
        </w:trPr>
        <w:tc>
          <w:tcPr>
            <w:tcW w:w="10518" w:type="dxa"/>
            <w:gridSpan w:val="11"/>
          </w:tcPr>
          <w:p w:rsidR="00F4198D" w:rsidRPr="0030682E" w:rsidRDefault="00F4198D" w:rsidP="0091279B">
            <w:pPr>
              <w:widowControl w:val="0"/>
              <w:tabs>
                <w:tab w:val="left" w:pos="567"/>
              </w:tabs>
              <w:jc w:val="center"/>
            </w:pPr>
            <w:r w:rsidRPr="0030682E">
              <w:lastRenderedPageBreak/>
              <w:t>3. Подпись</w:t>
            </w:r>
          </w:p>
        </w:tc>
      </w:tr>
      <w:tr w:rsidR="00477D59" w:rsidRPr="00AB104B" w:rsidTr="00040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3"/>
        </w:trPr>
        <w:tc>
          <w:tcPr>
            <w:tcW w:w="4564" w:type="dxa"/>
            <w:gridSpan w:val="7"/>
            <w:tcBorders>
              <w:top w:val="single" w:sz="4" w:space="0" w:color="auto"/>
              <w:left w:val="single" w:sz="4" w:space="0" w:color="auto"/>
              <w:bottom w:val="nil"/>
              <w:right w:val="nil"/>
            </w:tcBorders>
            <w:vAlign w:val="bottom"/>
          </w:tcPr>
          <w:p w:rsidR="00477D59" w:rsidRPr="00E26837" w:rsidRDefault="00477D59" w:rsidP="0004098C">
            <w:pPr>
              <w:widowControl w:val="0"/>
              <w:rPr>
                <w:sz w:val="24"/>
                <w:szCs w:val="24"/>
              </w:rPr>
            </w:pPr>
          </w:p>
          <w:p w:rsidR="00477D59" w:rsidRDefault="00477D59" w:rsidP="0004098C">
            <w:pPr>
              <w:widowControl w:val="0"/>
              <w:rPr>
                <w:rStyle w:val="SUBST"/>
                <w:b w:val="0"/>
                <w:i w:val="0"/>
                <w:sz w:val="24"/>
                <w:szCs w:val="24"/>
              </w:rPr>
            </w:pPr>
            <w:r w:rsidRPr="00E26837">
              <w:rPr>
                <w:sz w:val="24"/>
                <w:szCs w:val="24"/>
              </w:rPr>
              <w:t>3.1.</w:t>
            </w:r>
            <w:r w:rsidRPr="00E26837">
              <w:rPr>
                <w:b/>
                <w:sz w:val="24"/>
                <w:szCs w:val="24"/>
              </w:rPr>
              <w:t xml:space="preserve"> </w:t>
            </w:r>
            <w:r w:rsidRPr="00E26837">
              <w:rPr>
                <w:sz w:val="24"/>
                <w:szCs w:val="24"/>
              </w:rPr>
              <w:t xml:space="preserve">Вице - президент </w:t>
            </w:r>
            <w:r w:rsidRPr="00E26837">
              <w:rPr>
                <w:rStyle w:val="SUBST"/>
                <w:b w:val="0"/>
                <w:i w:val="0"/>
                <w:sz w:val="24"/>
                <w:szCs w:val="24"/>
              </w:rPr>
              <w:t xml:space="preserve">  </w:t>
            </w:r>
          </w:p>
          <w:p w:rsidR="00477D59" w:rsidRPr="00E26837" w:rsidRDefault="00477D59" w:rsidP="0004098C">
            <w:pPr>
              <w:widowControl w:val="0"/>
              <w:rPr>
                <w:b/>
                <w:sz w:val="24"/>
                <w:szCs w:val="24"/>
              </w:rPr>
            </w:pPr>
            <w:r w:rsidRPr="00E26837">
              <w:rPr>
                <w:rStyle w:val="SUBST"/>
                <w:b w:val="0"/>
                <w:i w:val="0"/>
                <w:sz w:val="24"/>
                <w:szCs w:val="24"/>
              </w:rPr>
              <w:t>ПАО НК «РуссНефть»</w:t>
            </w:r>
          </w:p>
        </w:tc>
        <w:tc>
          <w:tcPr>
            <w:tcW w:w="1984" w:type="dxa"/>
            <w:tcBorders>
              <w:top w:val="single" w:sz="4" w:space="0" w:color="auto"/>
              <w:left w:val="nil"/>
              <w:bottom w:val="single" w:sz="4" w:space="0" w:color="auto"/>
              <w:right w:val="nil"/>
            </w:tcBorders>
            <w:vAlign w:val="bottom"/>
          </w:tcPr>
          <w:p w:rsidR="00477D59" w:rsidRPr="00E26837" w:rsidRDefault="00477D59" w:rsidP="0004098C">
            <w:pPr>
              <w:widowControl w:val="0"/>
              <w:jc w:val="center"/>
              <w:rPr>
                <w:sz w:val="24"/>
                <w:szCs w:val="24"/>
              </w:rPr>
            </w:pPr>
          </w:p>
        </w:tc>
        <w:tc>
          <w:tcPr>
            <w:tcW w:w="851" w:type="dxa"/>
            <w:tcBorders>
              <w:top w:val="single" w:sz="4" w:space="0" w:color="auto"/>
              <w:left w:val="nil"/>
              <w:bottom w:val="nil"/>
              <w:right w:val="nil"/>
            </w:tcBorders>
            <w:vAlign w:val="bottom"/>
          </w:tcPr>
          <w:p w:rsidR="00477D59" w:rsidRPr="00AB104B" w:rsidRDefault="00477D59" w:rsidP="0004098C">
            <w:pPr>
              <w:widowControl w:val="0"/>
              <w:rPr>
                <w:sz w:val="24"/>
                <w:szCs w:val="24"/>
              </w:rPr>
            </w:pPr>
          </w:p>
        </w:tc>
        <w:tc>
          <w:tcPr>
            <w:tcW w:w="2835" w:type="dxa"/>
            <w:tcBorders>
              <w:top w:val="single" w:sz="4" w:space="0" w:color="auto"/>
              <w:left w:val="nil"/>
              <w:bottom w:val="nil"/>
              <w:right w:val="nil"/>
            </w:tcBorders>
            <w:vAlign w:val="bottom"/>
          </w:tcPr>
          <w:p w:rsidR="00477D59" w:rsidRPr="00AB104B" w:rsidRDefault="00477D59" w:rsidP="0004098C">
            <w:pPr>
              <w:widowControl w:val="0"/>
              <w:jc w:val="center"/>
              <w:rPr>
                <w:b/>
                <w:bCs/>
                <w:sz w:val="24"/>
                <w:szCs w:val="24"/>
              </w:rPr>
            </w:pPr>
          </w:p>
          <w:p w:rsidR="00477D59" w:rsidRPr="00AB104B" w:rsidRDefault="00477D59" w:rsidP="0004098C">
            <w:pPr>
              <w:widowControl w:val="0"/>
              <w:jc w:val="center"/>
              <w:rPr>
                <w:sz w:val="24"/>
                <w:szCs w:val="24"/>
              </w:rPr>
            </w:pPr>
            <w:r w:rsidRPr="00AB104B">
              <w:rPr>
                <w:b/>
                <w:bCs/>
                <w:sz w:val="24"/>
                <w:szCs w:val="24"/>
              </w:rPr>
              <w:t xml:space="preserve">               </w:t>
            </w:r>
            <w:r w:rsidRPr="00AB104B">
              <w:rPr>
                <w:sz w:val="24"/>
                <w:szCs w:val="24"/>
              </w:rPr>
              <w:t>Д.В. Романов</w:t>
            </w:r>
          </w:p>
        </w:tc>
        <w:tc>
          <w:tcPr>
            <w:tcW w:w="284" w:type="dxa"/>
            <w:tcBorders>
              <w:top w:val="single" w:sz="4" w:space="0" w:color="auto"/>
              <w:left w:val="nil"/>
              <w:bottom w:val="nil"/>
              <w:right w:val="single" w:sz="4" w:space="0" w:color="auto"/>
            </w:tcBorders>
            <w:vAlign w:val="bottom"/>
          </w:tcPr>
          <w:p w:rsidR="00477D59" w:rsidRPr="00AB104B" w:rsidRDefault="00477D59" w:rsidP="0004098C">
            <w:pPr>
              <w:widowControl w:val="0"/>
              <w:rPr>
                <w:sz w:val="24"/>
                <w:szCs w:val="24"/>
              </w:rPr>
            </w:pPr>
          </w:p>
        </w:tc>
      </w:tr>
      <w:tr w:rsidR="00477D59" w:rsidRPr="00AB104B" w:rsidTr="00040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0"/>
        </w:trPr>
        <w:tc>
          <w:tcPr>
            <w:tcW w:w="4564" w:type="dxa"/>
            <w:gridSpan w:val="7"/>
            <w:tcBorders>
              <w:top w:val="nil"/>
              <w:left w:val="single" w:sz="4" w:space="0" w:color="auto"/>
              <w:bottom w:val="nil"/>
              <w:right w:val="nil"/>
            </w:tcBorders>
          </w:tcPr>
          <w:p w:rsidR="00477D59" w:rsidRPr="00E26837" w:rsidRDefault="00477D59" w:rsidP="0004098C">
            <w:pPr>
              <w:widowControl w:val="0"/>
              <w:rPr>
                <w:sz w:val="24"/>
                <w:szCs w:val="24"/>
              </w:rPr>
            </w:pPr>
          </w:p>
        </w:tc>
        <w:tc>
          <w:tcPr>
            <w:tcW w:w="1984" w:type="dxa"/>
            <w:tcBorders>
              <w:top w:val="nil"/>
              <w:left w:val="nil"/>
              <w:bottom w:val="nil"/>
              <w:right w:val="nil"/>
            </w:tcBorders>
          </w:tcPr>
          <w:p w:rsidR="00477D59" w:rsidRPr="00E26837" w:rsidRDefault="00477D59" w:rsidP="0004098C">
            <w:pPr>
              <w:widowControl w:val="0"/>
              <w:jc w:val="center"/>
              <w:rPr>
                <w:sz w:val="24"/>
                <w:szCs w:val="24"/>
              </w:rPr>
            </w:pPr>
            <w:r w:rsidRPr="00E26837">
              <w:rPr>
                <w:sz w:val="24"/>
                <w:szCs w:val="24"/>
              </w:rPr>
              <w:t>(подпись)</w:t>
            </w:r>
          </w:p>
        </w:tc>
        <w:tc>
          <w:tcPr>
            <w:tcW w:w="851" w:type="dxa"/>
            <w:tcBorders>
              <w:top w:val="nil"/>
              <w:left w:val="nil"/>
              <w:bottom w:val="nil"/>
              <w:right w:val="nil"/>
            </w:tcBorders>
          </w:tcPr>
          <w:p w:rsidR="00477D59" w:rsidRPr="00AB104B" w:rsidRDefault="00477D59" w:rsidP="0004098C">
            <w:pPr>
              <w:widowControl w:val="0"/>
              <w:rPr>
                <w:sz w:val="24"/>
                <w:szCs w:val="24"/>
              </w:rPr>
            </w:pPr>
          </w:p>
        </w:tc>
        <w:tc>
          <w:tcPr>
            <w:tcW w:w="2835" w:type="dxa"/>
            <w:tcBorders>
              <w:top w:val="nil"/>
              <w:left w:val="nil"/>
              <w:bottom w:val="nil"/>
              <w:right w:val="nil"/>
            </w:tcBorders>
          </w:tcPr>
          <w:p w:rsidR="00477D59" w:rsidRPr="00AB104B" w:rsidRDefault="00477D59" w:rsidP="0004098C">
            <w:pPr>
              <w:widowControl w:val="0"/>
              <w:rPr>
                <w:sz w:val="24"/>
                <w:szCs w:val="24"/>
              </w:rPr>
            </w:pPr>
          </w:p>
        </w:tc>
        <w:tc>
          <w:tcPr>
            <w:tcW w:w="284" w:type="dxa"/>
            <w:tcBorders>
              <w:top w:val="nil"/>
              <w:left w:val="nil"/>
              <w:bottom w:val="nil"/>
              <w:right w:val="single" w:sz="4" w:space="0" w:color="auto"/>
            </w:tcBorders>
          </w:tcPr>
          <w:p w:rsidR="00477D59" w:rsidRPr="00AB104B" w:rsidRDefault="00477D59" w:rsidP="0004098C">
            <w:pPr>
              <w:widowControl w:val="0"/>
              <w:rPr>
                <w:sz w:val="24"/>
                <w:szCs w:val="24"/>
              </w:rPr>
            </w:pPr>
          </w:p>
        </w:tc>
      </w:tr>
      <w:tr w:rsidR="00477D59" w:rsidRPr="00AB104B" w:rsidTr="00040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29" w:type="dxa"/>
            <w:tcBorders>
              <w:top w:val="nil"/>
              <w:left w:val="single" w:sz="4" w:space="0" w:color="auto"/>
              <w:bottom w:val="nil"/>
              <w:right w:val="nil"/>
            </w:tcBorders>
            <w:vAlign w:val="bottom"/>
          </w:tcPr>
          <w:p w:rsidR="00477D59" w:rsidRPr="00E26837" w:rsidRDefault="00477D59" w:rsidP="0004098C">
            <w:pPr>
              <w:widowControl w:val="0"/>
              <w:rPr>
                <w:sz w:val="24"/>
                <w:szCs w:val="24"/>
              </w:rPr>
            </w:pPr>
            <w:r w:rsidRPr="00E26837">
              <w:rPr>
                <w:sz w:val="24"/>
                <w:szCs w:val="24"/>
              </w:rPr>
              <w:t>3.2. Дата “</w:t>
            </w:r>
          </w:p>
        </w:tc>
        <w:tc>
          <w:tcPr>
            <w:tcW w:w="448" w:type="dxa"/>
            <w:tcBorders>
              <w:top w:val="nil"/>
              <w:left w:val="nil"/>
              <w:bottom w:val="single" w:sz="4" w:space="0" w:color="auto"/>
              <w:right w:val="nil"/>
            </w:tcBorders>
            <w:vAlign w:val="bottom"/>
          </w:tcPr>
          <w:p w:rsidR="00477D59" w:rsidRPr="00E26837" w:rsidRDefault="00477D59" w:rsidP="00477D59">
            <w:pPr>
              <w:widowControl w:val="0"/>
              <w:jc w:val="center"/>
              <w:rPr>
                <w:sz w:val="24"/>
                <w:szCs w:val="24"/>
              </w:rPr>
            </w:pPr>
            <w:r w:rsidRPr="00E26837">
              <w:rPr>
                <w:sz w:val="24"/>
                <w:szCs w:val="24"/>
              </w:rPr>
              <w:t>2</w:t>
            </w:r>
            <w:r>
              <w:rPr>
                <w:sz w:val="24"/>
                <w:szCs w:val="24"/>
              </w:rPr>
              <w:t>5</w:t>
            </w:r>
          </w:p>
        </w:tc>
        <w:tc>
          <w:tcPr>
            <w:tcW w:w="293" w:type="dxa"/>
            <w:tcBorders>
              <w:top w:val="nil"/>
              <w:left w:val="nil"/>
              <w:bottom w:val="nil"/>
              <w:right w:val="nil"/>
            </w:tcBorders>
            <w:vAlign w:val="bottom"/>
          </w:tcPr>
          <w:p w:rsidR="00477D59" w:rsidRPr="00E26837" w:rsidRDefault="00477D59" w:rsidP="0004098C">
            <w:pPr>
              <w:widowControl w:val="0"/>
              <w:rPr>
                <w:sz w:val="24"/>
                <w:szCs w:val="24"/>
              </w:rPr>
            </w:pPr>
            <w:r w:rsidRPr="00E26837">
              <w:rPr>
                <w:sz w:val="24"/>
                <w:szCs w:val="24"/>
              </w:rPr>
              <w:t>”</w:t>
            </w:r>
          </w:p>
        </w:tc>
        <w:tc>
          <w:tcPr>
            <w:tcW w:w="1318" w:type="dxa"/>
            <w:tcBorders>
              <w:top w:val="nil"/>
              <w:left w:val="nil"/>
              <w:bottom w:val="single" w:sz="4" w:space="0" w:color="auto"/>
              <w:right w:val="nil"/>
            </w:tcBorders>
            <w:vAlign w:val="bottom"/>
          </w:tcPr>
          <w:p w:rsidR="00477D59" w:rsidRPr="00E26837" w:rsidRDefault="00477D59" w:rsidP="0004098C">
            <w:pPr>
              <w:widowControl w:val="0"/>
              <w:jc w:val="center"/>
              <w:rPr>
                <w:sz w:val="24"/>
                <w:szCs w:val="24"/>
              </w:rPr>
            </w:pPr>
            <w:r w:rsidRPr="00E26837">
              <w:rPr>
                <w:sz w:val="24"/>
                <w:szCs w:val="24"/>
              </w:rPr>
              <w:t>мая</w:t>
            </w:r>
          </w:p>
        </w:tc>
        <w:tc>
          <w:tcPr>
            <w:tcW w:w="415" w:type="dxa"/>
            <w:tcBorders>
              <w:top w:val="nil"/>
              <w:left w:val="nil"/>
              <w:bottom w:val="nil"/>
              <w:right w:val="nil"/>
            </w:tcBorders>
            <w:vAlign w:val="bottom"/>
          </w:tcPr>
          <w:p w:rsidR="00477D59" w:rsidRPr="00E26837" w:rsidRDefault="00477D59" w:rsidP="0004098C">
            <w:pPr>
              <w:widowControl w:val="0"/>
              <w:jc w:val="right"/>
              <w:rPr>
                <w:sz w:val="24"/>
                <w:szCs w:val="24"/>
              </w:rPr>
            </w:pPr>
            <w:r w:rsidRPr="00E26837">
              <w:rPr>
                <w:sz w:val="24"/>
                <w:szCs w:val="24"/>
              </w:rPr>
              <w:t>20</w:t>
            </w:r>
          </w:p>
        </w:tc>
        <w:tc>
          <w:tcPr>
            <w:tcW w:w="435" w:type="dxa"/>
            <w:tcBorders>
              <w:top w:val="nil"/>
              <w:left w:val="nil"/>
              <w:bottom w:val="single" w:sz="4" w:space="0" w:color="auto"/>
              <w:right w:val="nil"/>
            </w:tcBorders>
            <w:vAlign w:val="bottom"/>
          </w:tcPr>
          <w:p w:rsidR="00477D59" w:rsidRPr="00E26837" w:rsidRDefault="00477D59" w:rsidP="0004098C">
            <w:pPr>
              <w:widowControl w:val="0"/>
              <w:rPr>
                <w:sz w:val="24"/>
                <w:szCs w:val="24"/>
              </w:rPr>
            </w:pPr>
            <w:r w:rsidRPr="00E26837">
              <w:rPr>
                <w:sz w:val="24"/>
                <w:szCs w:val="24"/>
              </w:rPr>
              <w:t>25</w:t>
            </w:r>
          </w:p>
        </w:tc>
        <w:tc>
          <w:tcPr>
            <w:tcW w:w="426" w:type="dxa"/>
            <w:tcBorders>
              <w:top w:val="nil"/>
              <w:left w:val="nil"/>
              <w:bottom w:val="nil"/>
              <w:right w:val="nil"/>
            </w:tcBorders>
            <w:vAlign w:val="bottom"/>
          </w:tcPr>
          <w:p w:rsidR="00477D59" w:rsidRPr="00E26837" w:rsidRDefault="00477D59" w:rsidP="0004098C">
            <w:pPr>
              <w:widowControl w:val="0"/>
              <w:rPr>
                <w:sz w:val="24"/>
                <w:szCs w:val="24"/>
              </w:rPr>
            </w:pPr>
            <w:r w:rsidRPr="00E26837">
              <w:rPr>
                <w:sz w:val="24"/>
                <w:szCs w:val="24"/>
              </w:rPr>
              <w:t>г.</w:t>
            </w:r>
          </w:p>
        </w:tc>
        <w:tc>
          <w:tcPr>
            <w:tcW w:w="1984" w:type="dxa"/>
            <w:tcBorders>
              <w:top w:val="nil"/>
              <w:left w:val="nil"/>
              <w:bottom w:val="nil"/>
              <w:right w:val="nil"/>
            </w:tcBorders>
            <w:vAlign w:val="bottom"/>
          </w:tcPr>
          <w:p w:rsidR="00477D59" w:rsidRPr="00E26837" w:rsidRDefault="00477D59" w:rsidP="0004098C">
            <w:pPr>
              <w:widowControl w:val="0"/>
              <w:jc w:val="center"/>
              <w:rPr>
                <w:sz w:val="24"/>
                <w:szCs w:val="24"/>
              </w:rPr>
            </w:pPr>
          </w:p>
        </w:tc>
        <w:tc>
          <w:tcPr>
            <w:tcW w:w="3970" w:type="dxa"/>
            <w:gridSpan w:val="3"/>
            <w:tcBorders>
              <w:top w:val="nil"/>
              <w:left w:val="nil"/>
              <w:bottom w:val="nil"/>
              <w:right w:val="single" w:sz="4" w:space="0" w:color="auto"/>
            </w:tcBorders>
            <w:vAlign w:val="bottom"/>
          </w:tcPr>
          <w:p w:rsidR="00477D59" w:rsidRPr="00AB104B" w:rsidRDefault="00477D59" w:rsidP="0004098C">
            <w:pPr>
              <w:widowControl w:val="0"/>
              <w:rPr>
                <w:sz w:val="24"/>
                <w:szCs w:val="24"/>
              </w:rPr>
            </w:pPr>
          </w:p>
        </w:tc>
      </w:tr>
      <w:tr w:rsidR="00477D59" w:rsidRPr="00AB104B" w:rsidTr="000409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564" w:type="dxa"/>
            <w:gridSpan w:val="7"/>
            <w:tcBorders>
              <w:top w:val="nil"/>
              <w:left w:val="single" w:sz="4" w:space="0" w:color="auto"/>
              <w:bottom w:val="single" w:sz="4" w:space="0" w:color="auto"/>
              <w:right w:val="nil"/>
            </w:tcBorders>
          </w:tcPr>
          <w:p w:rsidR="00477D59" w:rsidRPr="00E26837" w:rsidRDefault="00477D59" w:rsidP="0004098C">
            <w:pPr>
              <w:widowControl w:val="0"/>
              <w:rPr>
                <w:sz w:val="24"/>
                <w:szCs w:val="24"/>
              </w:rPr>
            </w:pPr>
          </w:p>
        </w:tc>
        <w:tc>
          <w:tcPr>
            <w:tcW w:w="1984" w:type="dxa"/>
            <w:tcBorders>
              <w:top w:val="nil"/>
              <w:left w:val="nil"/>
              <w:bottom w:val="single" w:sz="4" w:space="0" w:color="auto"/>
              <w:right w:val="nil"/>
            </w:tcBorders>
          </w:tcPr>
          <w:p w:rsidR="00477D59" w:rsidRPr="00E26837" w:rsidRDefault="00477D59" w:rsidP="0004098C">
            <w:pPr>
              <w:widowControl w:val="0"/>
              <w:jc w:val="center"/>
              <w:rPr>
                <w:sz w:val="24"/>
                <w:szCs w:val="24"/>
              </w:rPr>
            </w:pPr>
          </w:p>
        </w:tc>
        <w:tc>
          <w:tcPr>
            <w:tcW w:w="3970" w:type="dxa"/>
            <w:gridSpan w:val="3"/>
            <w:tcBorders>
              <w:top w:val="nil"/>
              <w:left w:val="nil"/>
              <w:bottom w:val="single" w:sz="4" w:space="0" w:color="auto"/>
              <w:right w:val="single" w:sz="4" w:space="0" w:color="auto"/>
            </w:tcBorders>
          </w:tcPr>
          <w:p w:rsidR="00477D59" w:rsidRPr="00AB104B" w:rsidRDefault="00477D59" w:rsidP="0004098C">
            <w:pPr>
              <w:widowControl w:val="0"/>
              <w:rPr>
                <w:sz w:val="24"/>
                <w:szCs w:val="24"/>
              </w:rPr>
            </w:pPr>
          </w:p>
        </w:tc>
      </w:tr>
    </w:tbl>
    <w:p w:rsidR="00407E32" w:rsidRPr="0030682E" w:rsidRDefault="00407E32" w:rsidP="00813B7E">
      <w:pPr>
        <w:tabs>
          <w:tab w:val="left" w:pos="567"/>
        </w:tabs>
      </w:pPr>
    </w:p>
    <w:sectPr w:rsidR="00407E32" w:rsidRPr="0030682E" w:rsidSect="00603B6C">
      <w:footerReference w:type="even" r:id="rId11"/>
      <w:footerReference w:type="default" r:id="rId12"/>
      <w:pgSz w:w="11906" w:h="16838"/>
      <w:pgMar w:top="709" w:right="851" w:bottom="568" w:left="851"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D32" w:rsidRDefault="00FB2D32">
      <w:r>
        <w:separator/>
      </w:r>
    </w:p>
  </w:endnote>
  <w:endnote w:type="continuationSeparator" w:id="0">
    <w:p w:rsidR="00FB2D32" w:rsidRDefault="00FB2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F27" w:rsidRDefault="005B0F27" w:rsidP="00F4198D">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B0F27" w:rsidRDefault="005B0F27" w:rsidP="00F4198D">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F27" w:rsidRDefault="005B0F27" w:rsidP="00F4198D">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A9794D">
      <w:rPr>
        <w:rStyle w:val="a7"/>
        <w:noProof/>
      </w:rPr>
      <w:t>2</w:t>
    </w:r>
    <w:r>
      <w:rPr>
        <w:rStyle w:val="a7"/>
      </w:rPr>
      <w:fldChar w:fldCharType="end"/>
    </w:r>
  </w:p>
  <w:p w:rsidR="005B0F27" w:rsidRDefault="005B0F27" w:rsidP="00F4198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D32" w:rsidRDefault="00FB2D32">
      <w:r>
        <w:separator/>
      </w:r>
    </w:p>
  </w:footnote>
  <w:footnote w:type="continuationSeparator" w:id="0">
    <w:p w:rsidR="00FB2D32" w:rsidRDefault="00FB2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EE15ED"/>
    <w:multiLevelType w:val="hybridMultilevel"/>
    <w:tmpl w:val="973E925A"/>
    <w:lvl w:ilvl="0" w:tplc="E8D493AC">
      <w:start w:val="1"/>
      <w:numFmt w:val="decimal"/>
      <w:lvlText w:val="%1."/>
      <w:lvlJc w:val="left"/>
      <w:pPr>
        <w:ind w:left="1377" w:hanging="81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1D844D3"/>
    <w:multiLevelType w:val="multilevel"/>
    <w:tmpl w:val="6C743D2E"/>
    <w:lvl w:ilvl="0">
      <w:start w:val="1"/>
      <w:numFmt w:val="decimal"/>
      <w:lvlText w:val="%1."/>
      <w:lvlJc w:val="left"/>
      <w:pPr>
        <w:ind w:left="390" w:hanging="390"/>
      </w:pPr>
      <w:rPr>
        <w:b/>
        <w:i w:val="0"/>
      </w:rPr>
    </w:lvl>
    <w:lvl w:ilvl="1">
      <w:start w:val="1"/>
      <w:numFmt w:val="decimal"/>
      <w:lvlText w:val="%1.%2."/>
      <w:lvlJc w:val="left"/>
      <w:pPr>
        <w:ind w:left="720" w:hanging="720"/>
      </w:pPr>
      <w:rPr>
        <w:b/>
        <w:color w:val="auto"/>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2" w15:restartNumberingAfterBreak="0">
    <w:nsid w:val="1C5053CC"/>
    <w:multiLevelType w:val="hybridMultilevel"/>
    <w:tmpl w:val="0B90D3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A10CEE"/>
    <w:multiLevelType w:val="hybridMultilevel"/>
    <w:tmpl w:val="59A80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EE2323"/>
    <w:multiLevelType w:val="hybridMultilevel"/>
    <w:tmpl w:val="13C6EF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887E4D"/>
    <w:multiLevelType w:val="hybridMultilevel"/>
    <w:tmpl w:val="394A18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84F4B73"/>
    <w:multiLevelType w:val="hybridMultilevel"/>
    <w:tmpl w:val="81263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B554F9D"/>
    <w:multiLevelType w:val="hybridMultilevel"/>
    <w:tmpl w:val="17268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5700F16"/>
    <w:multiLevelType w:val="hybridMultilevel"/>
    <w:tmpl w:val="529C99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BE4411"/>
    <w:multiLevelType w:val="hybridMultilevel"/>
    <w:tmpl w:val="EADEEC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7AC23B6A"/>
    <w:multiLevelType w:val="hybridMultilevel"/>
    <w:tmpl w:val="1696C3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B3F7B4A"/>
    <w:multiLevelType w:val="hybridMultilevel"/>
    <w:tmpl w:val="4C12E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3"/>
  </w:num>
  <w:num w:numId="5">
    <w:abstractNumId w:val="6"/>
  </w:num>
  <w:num w:numId="6">
    <w:abstractNumId w:val="9"/>
  </w:num>
  <w:num w:numId="7">
    <w:abstractNumId w:val="0"/>
  </w:num>
  <w:num w:numId="8">
    <w:abstractNumId w:val="8"/>
  </w:num>
  <w:num w:numId="9">
    <w:abstractNumId w:val="11"/>
  </w:num>
  <w:num w:numId="10">
    <w:abstractNumId w:val="5"/>
  </w:num>
  <w:num w:numId="11">
    <w:abstractNumId w:val="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98D"/>
    <w:rsid w:val="0000471E"/>
    <w:rsid w:val="0000554E"/>
    <w:rsid w:val="00006518"/>
    <w:rsid w:val="00010A17"/>
    <w:rsid w:val="00013E7B"/>
    <w:rsid w:val="000143E4"/>
    <w:rsid w:val="00014B73"/>
    <w:rsid w:val="00014DAD"/>
    <w:rsid w:val="00017325"/>
    <w:rsid w:val="0002361B"/>
    <w:rsid w:val="00027618"/>
    <w:rsid w:val="00035595"/>
    <w:rsid w:val="00037704"/>
    <w:rsid w:val="00040191"/>
    <w:rsid w:val="00041CAE"/>
    <w:rsid w:val="000424E3"/>
    <w:rsid w:val="000511AB"/>
    <w:rsid w:val="000519FA"/>
    <w:rsid w:val="00052EF9"/>
    <w:rsid w:val="00054BE9"/>
    <w:rsid w:val="00057C55"/>
    <w:rsid w:val="00057EA5"/>
    <w:rsid w:val="00066E7E"/>
    <w:rsid w:val="00070348"/>
    <w:rsid w:val="000814B1"/>
    <w:rsid w:val="00091352"/>
    <w:rsid w:val="00091383"/>
    <w:rsid w:val="00092A4F"/>
    <w:rsid w:val="00092AE4"/>
    <w:rsid w:val="00093033"/>
    <w:rsid w:val="00093FC8"/>
    <w:rsid w:val="00094657"/>
    <w:rsid w:val="0009611E"/>
    <w:rsid w:val="00096465"/>
    <w:rsid w:val="00096579"/>
    <w:rsid w:val="000966E9"/>
    <w:rsid w:val="000A0E73"/>
    <w:rsid w:val="000A3050"/>
    <w:rsid w:val="000B12EC"/>
    <w:rsid w:val="000B3D88"/>
    <w:rsid w:val="000B4D39"/>
    <w:rsid w:val="000B52D0"/>
    <w:rsid w:val="000B603F"/>
    <w:rsid w:val="000B678A"/>
    <w:rsid w:val="000C0F93"/>
    <w:rsid w:val="000C2A8D"/>
    <w:rsid w:val="000C344A"/>
    <w:rsid w:val="000D0829"/>
    <w:rsid w:val="000D1AAC"/>
    <w:rsid w:val="000D2565"/>
    <w:rsid w:val="000E5E9C"/>
    <w:rsid w:val="000E7BE7"/>
    <w:rsid w:val="000E7E0B"/>
    <w:rsid w:val="000F021C"/>
    <w:rsid w:val="000F67AC"/>
    <w:rsid w:val="000F75B5"/>
    <w:rsid w:val="00101EF8"/>
    <w:rsid w:val="00106967"/>
    <w:rsid w:val="00110214"/>
    <w:rsid w:val="001141C1"/>
    <w:rsid w:val="00115E09"/>
    <w:rsid w:val="00117A70"/>
    <w:rsid w:val="00121063"/>
    <w:rsid w:val="00124211"/>
    <w:rsid w:val="001276F5"/>
    <w:rsid w:val="00130B14"/>
    <w:rsid w:val="00142CDE"/>
    <w:rsid w:val="00142FD9"/>
    <w:rsid w:val="00146601"/>
    <w:rsid w:val="00157380"/>
    <w:rsid w:val="001608C2"/>
    <w:rsid w:val="0016305E"/>
    <w:rsid w:val="00163127"/>
    <w:rsid w:val="0016318F"/>
    <w:rsid w:val="001651E9"/>
    <w:rsid w:val="00167D1B"/>
    <w:rsid w:val="001724F1"/>
    <w:rsid w:val="00175CF1"/>
    <w:rsid w:val="001805A0"/>
    <w:rsid w:val="00182DA5"/>
    <w:rsid w:val="00187E6E"/>
    <w:rsid w:val="00192245"/>
    <w:rsid w:val="0019287D"/>
    <w:rsid w:val="001939AD"/>
    <w:rsid w:val="00194F4E"/>
    <w:rsid w:val="00197D58"/>
    <w:rsid w:val="001A17BE"/>
    <w:rsid w:val="001A2309"/>
    <w:rsid w:val="001A29D0"/>
    <w:rsid w:val="001A2E82"/>
    <w:rsid w:val="001A5D42"/>
    <w:rsid w:val="001A704F"/>
    <w:rsid w:val="001A7E28"/>
    <w:rsid w:val="001B4AD1"/>
    <w:rsid w:val="001B5C2D"/>
    <w:rsid w:val="001C2C6E"/>
    <w:rsid w:val="001C3F1B"/>
    <w:rsid w:val="001C51AA"/>
    <w:rsid w:val="001D1627"/>
    <w:rsid w:val="001D1BF2"/>
    <w:rsid w:val="001D2EB5"/>
    <w:rsid w:val="001D514A"/>
    <w:rsid w:val="001D624C"/>
    <w:rsid w:val="001D658D"/>
    <w:rsid w:val="001E006D"/>
    <w:rsid w:val="001E0159"/>
    <w:rsid w:val="001E2701"/>
    <w:rsid w:val="001E31D5"/>
    <w:rsid w:val="001E3982"/>
    <w:rsid w:val="001E4D98"/>
    <w:rsid w:val="001E50D5"/>
    <w:rsid w:val="001F0B25"/>
    <w:rsid w:val="001F76AE"/>
    <w:rsid w:val="00201427"/>
    <w:rsid w:val="0020172B"/>
    <w:rsid w:val="0021416C"/>
    <w:rsid w:val="00215265"/>
    <w:rsid w:val="00220029"/>
    <w:rsid w:val="00223D61"/>
    <w:rsid w:val="002264BD"/>
    <w:rsid w:val="002269DE"/>
    <w:rsid w:val="00232156"/>
    <w:rsid w:val="00234F97"/>
    <w:rsid w:val="00235041"/>
    <w:rsid w:val="00240130"/>
    <w:rsid w:val="002409EB"/>
    <w:rsid w:val="00241985"/>
    <w:rsid w:val="00244418"/>
    <w:rsid w:val="00247F40"/>
    <w:rsid w:val="0025088E"/>
    <w:rsid w:val="00251080"/>
    <w:rsid w:val="00251EBE"/>
    <w:rsid w:val="00260720"/>
    <w:rsid w:val="00263798"/>
    <w:rsid w:val="00264704"/>
    <w:rsid w:val="002657E0"/>
    <w:rsid w:val="00266E54"/>
    <w:rsid w:val="00267977"/>
    <w:rsid w:val="002708E6"/>
    <w:rsid w:val="002757FF"/>
    <w:rsid w:val="00276B8B"/>
    <w:rsid w:val="00277CBA"/>
    <w:rsid w:val="00281B1F"/>
    <w:rsid w:val="00283613"/>
    <w:rsid w:val="0028569A"/>
    <w:rsid w:val="00291438"/>
    <w:rsid w:val="00292569"/>
    <w:rsid w:val="0029637E"/>
    <w:rsid w:val="002A01EC"/>
    <w:rsid w:val="002A1CD3"/>
    <w:rsid w:val="002A5159"/>
    <w:rsid w:val="002B0BAC"/>
    <w:rsid w:val="002B1846"/>
    <w:rsid w:val="002B31A3"/>
    <w:rsid w:val="002B3D10"/>
    <w:rsid w:val="002C0AAA"/>
    <w:rsid w:val="002C20C6"/>
    <w:rsid w:val="002C71A5"/>
    <w:rsid w:val="002D758A"/>
    <w:rsid w:val="002E4021"/>
    <w:rsid w:val="002E7422"/>
    <w:rsid w:val="002E7690"/>
    <w:rsid w:val="002F162B"/>
    <w:rsid w:val="002F22EB"/>
    <w:rsid w:val="002F2A09"/>
    <w:rsid w:val="002F48A9"/>
    <w:rsid w:val="002F6E1D"/>
    <w:rsid w:val="00300ECF"/>
    <w:rsid w:val="00302575"/>
    <w:rsid w:val="00302AC7"/>
    <w:rsid w:val="00302E2D"/>
    <w:rsid w:val="0030682E"/>
    <w:rsid w:val="0030721F"/>
    <w:rsid w:val="0031214A"/>
    <w:rsid w:val="003145C2"/>
    <w:rsid w:val="00316C13"/>
    <w:rsid w:val="00323E38"/>
    <w:rsid w:val="00325644"/>
    <w:rsid w:val="00326A65"/>
    <w:rsid w:val="00340123"/>
    <w:rsid w:val="00344A75"/>
    <w:rsid w:val="00345E27"/>
    <w:rsid w:val="00352C62"/>
    <w:rsid w:val="0035689E"/>
    <w:rsid w:val="00357B12"/>
    <w:rsid w:val="003604F7"/>
    <w:rsid w:val="00361A87"/>
    <w:rsid w:val="00367115"/>
    <w:rsid w:val="00371097"/>
    <w:rsid w:val="0037290B"/>
    <w:rsid w:val="00374478"/>
    <w:rsid w:val="003828E6"/>
    <w:rsid w:val="00382927"/>
    <w:rsid w:val="00387A13"/>
    <w:rsid w:val="003922FE"/>
    <w:rsid w:val="00392676"/>
    <w:rsid w:val="00396DD8"/>
    <w:rsid w:val="003A134D"/>
    <w:rsid w:val="003A26C0"/>
    <w:rsid w:val="003A27BB"/>
    <w:rsid w:val="003A61CC"/>
    <w:rsid w:val="003A6215"/>
    <w:rsid w:val="003B6CB0"/>
    <w:rsid w:val="003C0EED"/>
    <w:rsid w:val="003C5286"/>
    <w:rsid w:val="003D000E"/>
    <w:rsid w:val="003D07D4"/>
    <w:rsid w:val="003D089C"/>
    <w:rsid w:val="003D403D"/>
    <w:rsid w:val="003E03B9"/>
    <w:rsid w:val="003E5AAB"/>
    <w:rsid w:val="003E5AF7"/>
    <w:rsid w:val="003F03C7"/>
    <w:rsid w:val="003F3FBD"/>
    <w:rsid w:val="003F7663"/>
    <w:rsid w:val="00402667"/>
    <w:rsid w:val="0040446B"/>
    <w:rsid w:val="00405C54"/>
    <w:rsid w:val="00407E32"/>
    <w:rsid w:val="00410621"/>
    <w:rsid w:val="00412A48"/>
    <w:rsid w:val="00414553"/>
    <w:rsid w:val="00414779"/>
    <w:rsid w:val="0041680D"/>
    <w:rsid w:val="004230B7"/>
    <w:rsid w:val="004254ED"/>
    <w:rsid w:val="00432C86"/>
    <w:rsid w:val="00435ADB"/>
    <w:rsid w:val="00440EF0"/>
    <w:rsid w:val="00441A19"/>
    <w:rsid w:val="00441DA5"/>
    <w:rsid w:val="00442DF0"/>
    <w:rsid w:val="004433D3"/>
    <w:rsid w:val="00446DE6"/>
    <w:rsid w:val="00450810"/>
    <w:rsid w:val="00451206"/>
    <w:rsid w:val="00454C6A"/>
    <w:rsid w:val="00457309"/>
    <w:rsid w:val="004577F2"/>
    <w:rsid w:val="004578DC"/>
    <w:rsid w:val="004670D7"/>
    <w:rsid w:val="00470A17"/>
    <w:rsid w:val="00470B65"/>
    <w:rsid w:val="00470FCD"/>
    <w:rsid w:val="0047183F"/>
    <w:rsid w:val="0047274D"/>
    <w:rsid w:val="004743C8"/>
    <w:rsid w:val="00476163"/>
    <w:rsid w:val="00477D59"/>
    <w:rsid w:val="00477FDE"/>
    <w:rsid w:val="00485916"/>
    <w:rsid w:val="00493BA2"/>
    <w:rsid w:val="004A3F4C"/>
    <w:rsid w:val="004A6CCD"/>
    <w:rsid w:val="004B3B62"/>
    <w:rsid w:val="004B5D5F"/>
    <w:rsid w:val="004B5F0A"/>
    <w:rsid w:val="004B749F"/>
    <w:rsid w:val="004C1967"/>
    <w:rsid w:val="004C30E2"/>
    <w:rsid w:val="004C3341"/>
    <w:rsid w:val="004C4B6E"/>
    <w:rsid w:val="004C5F0D"/>
    <w:rsid w:val="004D35DC"/>
    <w:rsid w:val="004D4D42"/>
    <w:rsid w:val="004D6B82"/>
    <w:rsid w:val="004D74B4"/>
    <w:rsid w:val="004D7D34"/>
    <w:rsid w:val="004E38B8"/>
    <w:rsid w:val="004E4C9D"/>
    <w:rsid w:val="004E5D4B"/>
    <w:rsid w:val="004E620E"/>
    <w:rsid w:val="004E7C41"/>
    <w:rsid w:val="004F11DD"/>
    <w:rsid w:val="004F135C"/>
    <w:rsid w:val="004F5C9F"/>
    <w:rsid w:val="0050000E"/>
    <w:rsid w:val="00502D17"/>
    <w:rsid w:val="00503206"/>
    <w:rsid w:val="0050410C"/>
    <w:rsid w:val="00504988"/>
    <w:rsid w:val="0050570F"/>
    <w:rsid w:val="005077F9"/>
    <w:rsid w:val="0051664B"/>
    <w:rsid w:val="00516D92"/>
    <w:rsid w:val="0052254F"/>
    <w:rsid w:val="005234C2"/>
    <w:rsid w:val="00523E4E"/>
    <w:rsid w:val="00530E5D"/>
    <w:rsid w:val="005320AA"/>
    <w:rsid w:val="00534251"/>
    <w:rsid w:val="0053591C"/>
    <w:rsid w:val="00535B13"/>
    <w:rsid w:val="005361B4"/>
    <w:rsid w:val="00543721"/>
    <w:rsid w:val="00544395"/>
    <w:rsid w:val="00545B88"/>
    <w:rsid w:val="005603FD"/>
    <w:rsid w:val="00566BEC"/>
    <w:rsid w:val="0057719D"/>
    <w:rsid w:val="005777E4"/>
    <w:rsid w:val="00581240"/>
    <w:rsid w:val="00581DD6"/>
    <w:rsid w:val="00584ACD"/>
    <w:rsid w:val="00584DF1"/>
    <w:rsid w:val="00591301"/>
    <w:rsid w:val="005965FB"/>
    <w:rsid w:val="005A319D"/>
    <w:rsid w:val="005A6A61"/>
    <w:rsid w:val="005B05C5"/>
    <w:rsid w:val="005B0F27"/>
    <w:rsid w:val="005B2048"/>
    <w:rsid w:val="005B6A2D"/>
    <w:rsid w:val="005C5396"/>
    <w:rsid w:val="005C7953"/>
    <w:rsid w:val="005D2E74"/>
    <w:rsid w:val="005E094B"/>
    <w:rsid w:val="005E24C2"/>
    <w:rsid w:val="005E2FAF"/>
    <w:rsid w:val="005F202A"/>
    <w:rsid w:val="005F3179"/>
    <w:rsid w:val="005F353E"/>
    <w:rsid w:val="005F398D"/>
    <w:rsid w:val="005F654E"/>
    <w:rsid w:val="00600387"/>
    <w:rsid w:val="00603B6C"/>
    <w:rsid w:val="0060780D"/>
    <w:rsid w:val="00612E59"/>
    <w:rsid w:val="0061316E"/>
    <w:rsid w:val="00613ED7"/>
    <w:rsid w:val="00616AA6"/>
    <w:rsid w:val="00621827"/>
    <w:rsid w:val="0062259D"/>
    <w:rsid w:val="00623DE9"/>
    <w:rsid w:val="00624E5A"/>
    <w:rsid w:val="00633028"/>
    <w:rsid w:val="00634613"/>
    <w:rsid w:val="0063521B"/>
    <w:rsid w:val="006426A7"/>
    <w:rsid w:val="0064497C"/>
    <w:rsid w:val="00644BF0"/>
    <w:rsid w:val="00646802"/>
    <w:rsid w:val="00650FBF"/>
    <w:rsid w:val="0065708D"/>
    <w:rsid w:val="00660502"/>
    <w:rsid w:val="00661552"/>
    <w:rsid w:val="006675C3"/>
    <w:rsid w:val="0067756C"/>
    <w:rsid w:val="00686B96"/>
    <w:rsid w:val="006921C9"/>
    <w:rsid w:val="00692BC8"/>
    <w:rsid w:val="0069694B"/>
    <w:rsid w:val="006B1ADF"/>
    <w:rsid w:val="006B325F"/>
    <w:rsid w:val="006B72D0"/>
    <w:rsid w:val="006C3F0A"/>
    <w:rsid w:val="006C5244"/>
    <w:rsid w:val="006C5577"/>
    <w:rsid w:val="006C6851"/>
    <w:rsid w:val="006D0662"/>
    <w:rsid w:val="006D3B18"/>
    <w:rsid w:val="006D5B86"/>
    <w:rsid w:val="006D60E8"/>
    <w:rsid w:val="006D6981"/>
    <w:rsid w:val="006E5C60"/>
    <w:rsid w:val="006F41C7"/>
    <w:rsid w:val="006F489B"/>
    <w:rsid w:val="006F5775"/>
    <w:rsid w:val="006F64F9"/>
    <w:rsid w:val="0070588C"/>
    <w:rsid w:val="00710848"/>
    <w:rsid w:val="00712939"/>
    <w:rsid w:val="00712DE9"/>
    <w:rsid w:val="007132D0"/>
    <w:rsid w:val="0071390B"/>
    <w:rsid w:val="007143F4"/>
    <w:rsid w:val="00714CD3"/>
    <w:rsid w:val="00715996"/>
    <w:rsid w:val="00720449"/>
    <w:rsid w:val="00720DAC"/>
    <w:rsid w:val="007225DE"/>
    <w:rsid w:val="007231FE"/>
    <w:rsid w:val="00725ADC"/>
    <w:rsid w:val="00726300"/>
    <w:rsid w:val="00726A1E"/>
    <w:rsid w:val="007365C2"/>
    <w:rsid w:val="00743266"/>
    <w:rsid w:val="00753A62"/>
    <w:rsid w:val="00753CA3"/>
    <w:rsid w:val="0075489A"/>
    <w:rsid w:val="00766746"/>
    <w:rsid w:val="00767A5F"/>
    <w:rsid w:val="007711D9"/>
    <w:rsid w:val="007737D3"/>
    <w:rsid w:val="0078040A"/>
    <w:rsid w:val="00782C75"/>
    <w:rsid w:val="0079268F"/>
    <w:rsid w:val="0079425D"/>
    <w:rsid w:val="0079452D"/>
    <w:rsid w:val="007948F6"/>
    <w:rsid w:val="007967AA"/>
    <w:rsid w:val="00796A01"/>
    <w:rsid w:val="007A1EDD"/>
    <w:rsid w:val="007A1FEC"/>
    <w:rsid w:val="007A3B37"/>
    <w:rsid w:val="007A3F5F"/>
    <w:rsid w:val="007A422E"/>
    <w:rsid w:val="007B0096"/>
    <w:rsid w:val="007B3823"/>
    <w:rsid w:val="007C2B7A"/>
    <w:rsid w:val="007C322D"/>
    <w:rsid w:val="007C449E"/>
    <w:rsid w:val="007C4935"/>
    <w:rsid w:val="007C6977"/>
    <w:rsid w:val="007D400D"/>
    <w:rsid w:val="007D4AA4"/>
    <w:rsid w:val="007D5D1A"/>
    <w:rsid w:val="007D7877"/>
    <w:rsid w:val="007E2E97"/>
    <w:rsid w:val="007E6C6A"/>
    <w:rsid w:val="007E7CD2"/>
    <w:rsid w:val="007F60C1"/>
    <w:rsid w:val="00810B93"/>
    <w:rsid w:val="00813B7E"/>
    <w:rsid w:val="00816192"/>
    <w:rsid w:val="008328E9"/>
    <w:rsid w:val="008365B7"/>
    <w:rsid w:val="008445F8"/>
    <w:rsid w:val="00845CAE"/>
    <w:rsid w:val="00851EC4"/>
    <w:rsid w:val="00853E40"/>
    <w:rsid w:val="008644FC"/>
    <w:rsid w:val="00880702"/>
    <w:rsid w:val="00881C1A"/>
    <w:rsid w:val="00882F62"/>
    <w:rsid w:val="00883CB2"/>
    <w:rsid w:val="00884B8F"/>
    <w:rsid w:val="00890495"/>
    <w:rsid w:val="00890784"/>
    <w:rsid w:val="00892CFF"/>
    <w:rsid w:val="00894D88"/>
    <w:rsid w:val="008A03A2"/>
    <w:rsid w:val="008A0FEF"/>
    <w:rsid w:val="008A15A4"/>
    <w:rsid w:val="008A234E"/>
    <w:rsid w:val="008B045F"/>
    <w:rsid w:val="008B3945"/>
    <w:rsid w:val="008B3A4F"/>
    <w:rsid w:val="008B5789"/>
    <w:rsid w:val="008C06F7"/>
    <w:rsid w:val="008C23C1"/>
    <w:rsid w:val="008C360E"/>
    <w:rsid w:val="008C3AF0"/>
    <w:rsid w:val="008D4572"/>
    <w:rsid w:val="008D6D07"/>
    <w:rsid w:val="008D7A8B"/>
    <w:rsid w:val="008E0E82"/>
    <w:rsid w:val="008E269A"/>
    <w:rsid w:val="008E55E1"/>
    <w:rsid w:val="008F4B3A"/>
    <w:rsid w:val="00902FCD"/>
    <w:rsid w:val="00903F40"/>
    <w:rsid w:val="00903F5E"/>
    <w:rsid w:val="0090675A"/>
    <w:rsid w:val="009118C6"/>
    <w:rsid w:val="0091279B"/>
    <w:rsid w:val="00913EC9"/>
    <w:rsid w:val="00924BAE"/>
    <w:rsid w:val="009265CF"/>
    <w:rsid w:val="009315A6"/>
    <w:rsid w:val="009327B2"/>
    <w:rsid w:val="00936CFA"/>
    <w:rsid w:val="009375D5"/>
    <w:rsid w:val="00946EA0"/>
    <w:rsid w:val="00951485"/>
    <w:rsid w:val="009514CB"/>
    <w:rsid w:val="00952643"/>
    <w:rsid w:val="00955066"/>
    <w:rsid w:val="009605B6"/>
    <w:rsid w:val="0096226C"/>
    <w:rsid w:val="00963EB8"/>
    <w:rsid w:val="00967270"/>
    <w:rsid w:val="00971264"/>
    <w:rsid w:val="009751FD"/>
    <w:rsid w:val="00976987"/>
    <w:rsid w:val="00977354"/>
    <w:rsid w:val="009832F3"/>
    <w:rsid w:val="009836A1"/>
    <w:rsid w:val="00985C4C"/>
    <w:rsid w:val="0099250D"/>
    <w:rsid w:val="0099606A"/>
    <w:rsid w:val="009A1081"/>
    <w:rsid w:val="009A1B70"/>
    <w:rsid w:val="009A27F5"/>
    <w:rsid w:val="009A7862"/>
    <w:rsid w:val="009B0EBC"/>
    <w:rsid w:val="009B10F2"/>
    <w:rsid w:val="009B3380"/>
    <w:rsid w:val="009B759B"/>
    <w:rsid w:val="009C2334"/>
    <w:rsid w:val="009C3A27"/>
    <w:rsid w:val="009D7B5B"/>
    <w:rsid w:val="009E106A"/>
    <w:rsid w:val="009E64C7"/>
    <w:rsid w:val="009E7470"/>
    <w:rsid w:val="009F0AD3"/>
    <w:rsid w:val="009F0B70"/>
    <w:rsid w:val="009F7D3F"/>
    <w:rsid w:val="00A03FDD"/>
    <w:rsid w:val="00A109A2"/>
    <w:rsid w:val="00A13C0C"/>
    <w:rsid w:val="00A14FE5"/>
    <w:rsid w:val="00A16478"/>
    <w:rsid w:val="00A24F04"/>
    <w:rsid w:val="00A32F02"/>
    <w:rsid w:val="00A357FF"/>
    <w:rsid w:val="00A40D5D"/>
    <w:rsid w:val="00A41C14"/>
    <w:rsid w:val="00A43009"/>
    <w:rsid w:val="00A4341A"/>
    <w:rsid w:val="00A47AF9"/>
    <w:rsid w:val="00A54A28"/>
    <w:rsid w:val="00A6308A"/>
    <w:rsid w:val="00A6366D"/>
    <w:rsid w:val="00A63EA5"/>
    <w:rsid w:val="00A81C96"/>
    <w:rsid w:val="00A84EE6"/>
    <w:rsid w:val="00A87087"/>
    <w:rsid w:val="00A9342B"/>
    <w:rsid w:val="00A94A16"/>
    <w:rsid w:val="00A95061"/>
    <w:rsid w:val="00A976E0"/>
    <w:rsid w:val="00A9794D"/>
    <w:rsid w:val="00AA1D84"/>
    <w:rsid w:val="00AA5ADE"/>
    <w:rsid w:val="00AB1819"/>
    <w:rsid w:val="00AB3450"/>
    <w:rsid w:val="00AB35DE"/>
    <w:rsid w:val="00AB4C65"/>
    <w:rsid w:val="00AB77F0"/>
    <w:rsid w:val="00AC198A"/>
    <w:rsid w:val="00AC206C"/>
    <w:rsid w:val="00AC4AD3"/>
    <w:rsid w:val="00AC4FFA"/>
    <w:rsid w:val="00AC71D0"/>
    <w:rsid w:val="00AC74B3"/>
    <w:rsid w:val="00AD3518"/>
    <w:rsid w:val="00AD67C2"/>
    <w:rsid w:val="00B02A57"/>
    <w:rsid w:val="00B02D11"/>
    <w:rsid w:val="00B032AC"/>
    <w:rsid w:val="00B03BF5"/>
    <w:rsid w:val="00B03F9E"/>
    <w:rsid w:val="00B045DB"/>
    <w:rsid w:val="00B05227"/>
    <w:rsid w:val="00B05A1B"/>
    <w:rsid w:val="00B15370"/>
    <w:rsid w:val="00B230AE"/>
    <w:rsid w:val="00B25A01"/>
    <w:rsid w:val="00B3066D"/>
    <w:rsid w:val="00B4000D"/>
    <w:rsid w:val="00B462FD"/>
    <w:rsid w:val="00B4710F"/>
    <w:rsid w:val="00B55041"/>
    <w:rsid w:val="00B6411C"/>
    <w:rsid w:val="00B6577E"/>
    <w:rsid w:val="00B71A42"/>
    <w:rsid w:val="00B7206F"/>
    <w:rsid w:val="00B73878"/>
    <w:rsid w:val="00B74BC9"/>
    <w:rsid w:val="00B764BC"/>
    <w:rsid w:val="00B923B4"/>
    <w:rsid w:val="00B932D6"/>
    <w:rsid w:val="00B96F35"/>
    <w:rsid w:val="00BA1DAD"/>
    <w:rsid w:val="00BA5A5E"/>
    <w:rsid w:val="00BA6188"/>
    <w:rsid w:val="00BC058A"/>
    <w:rsid w:val="00BC43EC"/>
    <w:rsid w:val="00BD30E0"/>
    <w:rsid w:val="00BD5B23"/>
    <w:rsid w:val="00BD65A0"/>
    <w:rsid w:val="00BF0207"/>
    <w:rsid w:val="00C00983"/>
    <w:rsid w:val="00C00A68"/>
    <w:rsid w:val="00C03206"/>
    <w:rsid w:val="00C042B9"/>
    <w:rsid w:val="00C05792"/>
    <w:rsid w:val="00C07006"/>
    <w:rsid w:val="00C13E36"/>
    <w:rsid w:val="00C20110"/>
    <w:rsid w:val="00C2067A"/>
    <w:rsid w:val="00C215AE"/>
    <w:rsid w:val="00C22F52"/>
    <w:rsid w:val="00C24086"/>
    <w:rsid w:val="00C25CC8"/>
    <w:rsid w:val="00C25DDA"/>
    <w:rsid w:val="00C27CA0"/>
    <w:rsid w:val="00C31475"/>
    <w:rsid w:val="00C3171B"/>
    <w:rsid w:val="00C319A7"/>
    <w:rsid w:val="00C3320B"/>
    <w:rsid w:val="00C35039"/>
    <w:rsid w:val="00C37F0E"/>
    <w:rsid w:val="00C4008E"/>
    <w:rsid w:val="00C40F7F"/>
    <w:rsid w:val="00C5014B"/>
    <w:rsid w:val="00C5250A"/>
    <w:rsid w:val="00C5446C"/>
    <w:rsid w:val="00C55CD6"/>
    <w:rsid w:val="00C57DD5"/>
    <w:rsid w:val="00C62C73"/>
    <w:rsid w:val="00C6489C"/>
    <w:rsid w:val="00C65D5D"/>
    <w:rsid w:val="00C70159"/>
    <w:rsid w:val="00C7115B"/>
    <w:rsid w:val="00C74CD7"/>
    <w:rsid w:val="00C75E92"/>
    <w:rsid w:val="00C84DED"/>
    <w:rsid w:val="00C85A6A"/>
    <w:rsid w:val="00C92689"/>
    <w:rsid w:val="00CA5BDF"/>
    <w:rsid w:val="00CA7CA0"/>
    <w:rsid w:val="00CA7F02"/>
    <w:rsid w:val="00CB70B0"/>
    <w:rsid w:val="00CB786F"/>
    <w:rsid w:val="00CC00E8"/>
    <w:rsid w:val="00CC0FCD"/>
    <w:rsid w:val="00CC4222"/>
    <w:rsid w:val="00CC55CC"/>
    <w:rsid w:val="00CC5865"/>
    <w:rsid w:val="00CD1BD1"/>
    <w:rsid w:val="00CD45B0"/>
    <w:rsid w:val="00CE2F2E"/>
    <w:rsid w:val="00CE4E6F"/>
    <w:rsid w:val="00CE6D44"/>
    <w:rsid w:val="00CF035D"/>
    <w:rsid w:val="00CF0BF9"/>
    <w:rsid w:val="00CF487A"/>
    <w:rsid w:val="00CF5EAF"/>
    <w:rsid w:val="00D03E94"/>
    <w:rsid w:val="00D04A2C"/>
    <w:rsid w:val="00D070D9"/>
    <w:rsid w:val="00D24DB1"/>
    <w:rsid w:val="00D31DE3"/>
    <w:rsid w:val="00D32C95"/>
    <w:rsid w:val="00D37492"/>
    <w:rsid w:val="00D377B7"/>
    <w:rsid w:val="00D4056A"/>
    <w:rsid w:val="00D55568"/>
    <w:rsid w:val="00D5748F"/>
    <w:rsid w:val="00D6110F"/>
    <w:rsid w:val="00D616D9"/>
    <w:rsid w:val="00D627D3"/>
    <w:rsid w:val="00D653A3"/>
    <w:rsid w:val="00D82785"/>
    <w:rsid w:val="00D828D4"/>
    <w:rsid w:val="00D87ED7"/>
    <w:rsid w:val="00DA0EA2"/>
    <w:rsid w:val="00DA14AC"/>
    <w:rsid w:val="00DA1FF9"/>
    <w:rsid w:val="00DA700C"/>
    <w:rsid w:val="00DA7094"/>
    <w:rsid w:val="00DB0601"/>
    <w:rsid w:val="00DB4319"/>
    <w:rsid w:val="00DB55E7"/>
    <w:rsid w:val="00DB663D"/>
    <w:rsid w:val="00DC18C5"/>
    <w:rsid w:val="00DC299D"/>
    <w:rsid w:val="00DC7AE4"/>
    <w:rsid w:val="00DD07D8"/>
    <w:rsid w:val="00DD0895"/>
    <w:rsid w:val="00DD0C17"/>
    <w:rsid w:val="00DD119C"/>
    <w:rsid w:val="00DD127C"/>
    <w:rsid w:val="00DD4F11"/>
    <w:rsid w:val="00DD6369"/>
    <w:rsid w:val="00DD6E0A"/>
    <w:rsid w:val="00DD7A03"/>
    <w:rsid w:val="00DE285E"/>
    <w:rsid w:val="00DE70BE"/>
    <w:rsid w:val="00DE79D1"/>
    <w:rsid w:val="00DF0A32"/>
    <w:rsid w:val="00DF391B"/>
    <w:rsid w:val="00DF42E0"/>
    <w:rsid w:val="00DF5C9C"/>
    <w:rsid w:val="00E051B9"/>
    <w:rsid w:val="00E0651C"/>
    <w:rsid w:val="00E1495A"/>
    <w:rsid w:val="00E14A45"/>
    <w:rsid w:val="00E158D8"/>
    <w:rsid w:val="00E17357"/>
    <w:rsid w:val="00E17DAC"/>
    <w:rsid w:val="00E23FDA"/>
    <w:rsid w:val="00E25905"/>
    <w:rsid w:val="00E27079"/>
    <w:rsid w:val="00E32B33"/>
    <w:rsid w:val="00E35BD2"/>
    <w:rsid w:val="00E35F0D"/>
    <w:rsid w:val="00E4798D"/>
    <w:rsid w:val="00E548F9"/>
    <w:rsid w:val="00E570F4"/>
    <w:rsid w:val="00E60FE0"/>
    <w:rsid w:val="00E6407B"/>
    <w:rsid w:val="00E65FA7"/>
    <w:rsid w:val="00E66132"/>
    <w:rsid w:val="00E67C84"/>
    <w:rsid w:val="00E70CC6"/>
    <w:rsid w:val="00E73428"/>
    <w:rsid w:val="00E82B32"/>
    <w:rsid w:val="00E83054"/>
    <w:rsid w:val="00E86E66"/>
    <w:rsid w:val="00E913F9"/>
    <w:rsid w:val="00E91F4B"/>
    <w:rsid w:val="00E9559F"/>
    <w:rsid w:val="00E9699B"/>
    <w:rsid w:val="00EA0407"/>
    <w:rsid w:val="00EA34C6"/>
    <w:rsid w:val="00EA69DF"/>
    <w:rsid w:val="00EA7074"/>
    <w:rsid w:val="00EB0B4F"/>
    <w:rsid w:val="00EB40C7"/>
    <w:rsid w:val="00EB62BC"/>
    <w:rsid w:val="00EC07C0"/>
    <w:rsid w:val="00EC3526"/>
    <w:rsid w:val="00ED5D6F"/>
    <w:rsid w:val="00ED79D0"/>
    <w:rsid w:val="00EE152E"/>
    <w:rsid w:val="00EE25B2"/>
    <w:rsid w:val="00EE3ADD"/>
    <w:rsid w:val="00EE796D"/>
    <w:rsid w:val="00EF18E3"/>
    <w:rsid w:val="00EF2AA3"/>
    <w:rsid w:val="00EF5358"/>
    <w:rsid w:val="00F05A1D"/>
    <w:rsid w:val="00F0663D"/>
    <w:rsid w:val="00F0671F"/>
    <w:rsid w:val="00F07BD6"/>
    <w:rsid w:val="00F11090"/>
    <w:rsid w:val="00F16632"/>
    <w:rsid w:val="00F17C0E"/>
    <w:rsid w:val="00F217D6"/>
    <w:rsid w:val="00F21CBD"/>
    <w:rsid w:val="00F23127"/>
    <w:rsid w:val="00F2637B"/>
    <w:rsid w:val="00F309A5"/>
    <w:rsid w:val="00F350DD"/>
    <w:rsid w:val="00F4198D"/>
    <w:rsid w:val="00F4307D"/>
    <w:rsid w:val="00F43450"/>
    <w:rsid w:val="00F45CD9"/>
    <w:rsid w:val="00F45D9C"/>
    <w:rsid w:val="00F54DC0"/>
    <w:rsid w:val="00F54DC9"/>
    <w:rsid w:val="00F646DD"/>
    <w:rsid w:val="00F667D4"/>
    <w:rsid w:val="00F707CC"/>
    <w:rsid w:val="00F72E52"/>
    <w:rsid w:val="00F82423"/>
    <w:rsid w:val="00F877AA"/>
    <w:rsid w:val="00F908BE"/>
    <w:rsid w:val="00F92CA8"/>
    <w:rsid w:val="00F93068"/>
    <w:rsid w:val="00F933CB"/>
    <w:rsid w:val="00F93618"/>
    <w:rsid w:val="00F938FE"/>
    <w:rsid w:val="00F95F61"/>
    <w:rsid w:val="00F9622C"/>
    <w:rsid w:val="00F97ADF"/>
    <w:rsid w:val="00FA0853"/>
    <w:rsid w:val="00FA62B3"/>
    <w:rsid w:val="00FB0FBA"/>
    <w:rsid w:val="00FB2D32"/>
    <w:rsid w:val="00FB2E3B"/>
    <w:rsid w:val="00FC0F57"/>
    <w:rsid w:val="00FC33EC"/>
    <w:rsid w:val="00FC4F5D"/>
    <w:rsid w:val="00FC6955"/>
    <w:rsid w:val="00FC6B70"/>
    <w:rsid w:val="00FD03A3"/>
    <w:rsid w:val="00FD7FDE"/>
    <w:rsid w:val="00FE094D"/>
    <w:rsid w:val="00FE330A"/>
    <w:rsid w:val="00FE5089"/>
    <w:rsid w:val="00FF3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99C26"/>
  <w15:chartTrackingRefBased/>
  <w15:docId w15:val="{9A283074-360B-40F3-BD33-D0790EB5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98D"/>
    <w:pPr>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4198D"/>
    <w:pPr>
      <w:tabs>
        <w:tab w:val="center" w:pos="4153"/>
        <w:tab w:val="right" w:pos="8306"/>
      </w:tabs>
    </w:pPr>
  </w:style>
  <w:style w:type="character" w:customStyle="1" w:styleId="a4">
    <w:name w:val="Нижний колонтитул Знак"/>
    <w:link w:val="a3"/>
    <w:semiHidden/>
    <w:locked/>
    <w:rsid w:val="00F4198D"/>
    <w:rPr>
      <w:lang w:val="ru-RU" w:eastAsia="ru-RU" w:bidi="ar-SA"/>
    </w:rPr>
  </w:style>
  <w:style w:type="paragraph" w:customStyle="1" w:styleId="a5">
    <w:name w:val="Текст (лев. подпись)"/>
    <w:basedOn w:val="a"/>
    <w:next w:val="a"/>
    <w:rsid w:val="00F4198D"/>
    <w:pPr>
      <w:adjustRightInd w:val="0"/>
    </w:pPr>
    <w:rPr>
      <w:rFonts w:ascii="Arial" w:hAnsi="Arial" w:cs="Arial"/>
      <w:sz w:val="22"/>
      <w:szCs w:val="22"/>
    </w:rPr>
  </w:style>
  <w:style w:type="character" w:customStyle="1" w:styleId="SUBST">
    <w:name w:val="__SUBST"/>
    <w:rsid w:val="00F4198D"/>
    <w:rPr>
      <w:b/>
      <w:i/>
      <w:sz w:val="22"/>
    </w:rPr>
  </w:style>
  <w:style w:type="paragraph" w:styleId="2">
    <w:name w:val="Body Text 2"/>
    <w:basedOn w:val="a"/>
    <w:link w:val="20"/>
    <w:rsid w:val="00F4198D"/>
    <w:pPr>
      <w:widowControl w:val="0"/>
      <w:spacing w:before="40"/>
      <w:ind w:left="200"/>
    </w:pPr>
    <w:rPr>
      <w:sz w:val="22"/>
      <w:szCs w:val="22"/>
    </w:rPr>
  </w:style>
  <w:style w:type="character" w:customStyle="1" w:styleId="20">
    <w:name w:val="Основной текст 2 Знак"/>
    <w:link w:val="2"/>
    <w:semiHidden/>
    <w:locked/>
    <w:rsid w:val="00F4198D"/>
    <w:rPr>
      <w:sz w:val="22"/>
      <w:szCs w:val="22"/>
      <w:lang w:val="ru-RU" w:eastAsia="ru-RU" w:bidi="ar-SA"/>
    </w:rPr>
  </w:style>
  <w:style w:type="table" w:styleId="a6">
    <w:name w:val="Table Grid"/>
    <w:basedOn w:val="a1"/>
    <w:rsid w:val="00F4198D"/>
    <w:pPr>
      <w:autoSpaceDE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rsid w:val="00F4198D"/>
    <w:rPr>
      <w:rFonts w:cs="Times New Roman"/>
    </w:rPr>
  </w:style>
  <w:style w:type="paragraph" w:styleId="a8">
    <w:name w:val="Balloon Text"/>
    <w:basedOn w:val="a"/>
    <w:link w:val="a9"/>
    <w:rsid w:val="006B1ADF"/>
    <w:rPr>
      <w:rFonts w:ascii="Tahoma" w:hAnsi="Tahoma"/>
      <w:sz w:val="16"/>
      <w:szCs w:val="16"/>
      <w:lang w:val="x-none" w:eastAsia="x-none"/>
    </w:rPr>
  </w:style>
  <w:style w:type="character" w:customStyle="1" w:styleId="a9">
    <w:name w:val="Текст выноски Знак"/>
    <w:link w:val="a8"/>
    <w:rsid w:val="006B1ADF"/>
    <w:rPr>
      <w:rFonts w:ascii="Tahoma" w:hAnsi="Tahoma" w:cs="Tahoma"/>
      <w:sz w:val="16"/>
      <w:szCs w:val="16"/>
    </w:rPr>
  </w:style>
  <w:style w:type="paragraph" w:customStyle="1" w:styleId="21">
    <w:name w:val="Основной текст 21"/>
    <w:basedOn w:val="a"/>
    <w:rsid w:val="002A01EC"/>
    <w:pPr>
      <w:overflowPunct w:val="0"/>
      <w:adjustRightInd w:val="0"/>
      <w:ind w:firstLine="708"/>
      <w:jc w:val="both"/>
    </w:pPr>
    <w:rPr>
      <w:sz w:val="28"/>
    </w:rPr>
  </w:style>
  <w:style w:type="paragraph" w:styleId="aa">
    <w:name w:val="Body Text"/>
    <w:basedOn w:val="a"/>
    <w:link w:val="ab"/>
    <w:uiPriority w:val="99"/>
    <w:unhideWhenUsed/>
    <w:rsid w:val="00EE3ADD"/>
    <w:pPr>
      <w:autoSpaceDE/>
      <w:autoSpaceDN/>
      <w:spacing w:after="120"/>
    </w:pPr>
    <w:rPr>
      <w:sz w:val="24"/>
      <w:szCs w:val="24"/>
      <w:lang w:val="x-none" w:eastAsia="x-none"/>
    </w:rPr>
  </w:style>
  <w:style w:type="character" w:customStyle="1" w:styleId="ab">
    <w:name w:val="Основной текст Знак"/>
    <w:link w:val="aa"/>
    <w:uiPriority w:val="99"/>
    <w:rsid w:val="00EE3ADD"/>
    <w:rPr>
      <w:sz w:val="24"/>
      <w:szCs w:val="24"/>
    </w:rPr>
  </w:style>
  <w:style w:type="paragraph" w:styleId="22">
    <w:name w:val="Body Text Indent 2"/>
    <w:basedOn w:val="a"/>
    <w:link w:val="23"/>
    <w:unhideWhenUsed/>
    <w:rsid w:val="0061316E"/>
    <w:pPr>
      <w:autoSpaceDE/>
      <w:autoSpaceDN/>
      <w:spacing w:after="120" w:line="480" w:lineRule="auto"/>
      <w:ind w:left="283"/>
    </w:pPr>
    <w:rPr>
      <w:sz w:val="24"/>
      <w:szCs w:val="24"/>
    </w:rPr>
  </w:style>
  <w:style w:type="character" w:customStyle="1" w:styleId="23">
    <w:name w:val="Основной текст с отступом 2 Знак"/>
    <w:link w:val="22"/>
    <w:rsid w:val="0061316E"/>
    <w:rPr>
      <w:sz w:val="24"/>
      <w:szCs w:val="24"/>
    </w:rPr>
  </w:style>
  <w:style w:type="paragraph" w:styleId="ac">
    <w:name w:val="List Paragraph"/>
    <w:basedOn w:val="a"/>
    <w:uiPriority w:val="34"/>
    <w:qFormat/>
    <w:rsid w:val="001D1627"/>
    <w:pPr>
      <w:autoSpaceDE/>
      <w:autoSpaceDN/>
      <w:ind w:left="720"/>
      <w:contextualSpacing/>
    </w:pPr>
    <w:rPr>
      <w:sz w:val="24"/>
      <w:szCs w:val="24"/>
    </w:rPr>
  </w:style>
  <w:style w:type="paragraph" w:styleId="ad">
    <w:name w:val="Normal (Web)"/>
    <w:basedOn w:val="a"/>
    <w:uiPriority w:val="99"/>
    <w:rsid w:val="0000554E"/>
    <w:pPr>
      <w:autoSpaceDE/>
      <w:autoSpaceDN/>
      <w:spacing w:before="100" w:beforeAutospacing="1" w:after="100" w:afterAutospacing="1"/>
    </w:pPr>
    <w:rPr>
      <w:sz w:val="24"/>
      <w:szCs w:val="24"/>
    </w:rPr>
  </w:style>
  <w:style w:type="character" w:styleId="ae">
    <w:name w:val="Hyperlink"/>
    <w:uiPriority w:val="99"/>
    <w:rsid w:val="00477D5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67219">
      <w:bodyDiv w:val="1"/>
      <w:marLeft w:val="0"/>
      <w:marRight w:val="0"/>
      <w:marTop w:val="0"/>
      <w:marBottom w:val="0"/>
      <w:divBdr>
        <w:top w:val="none" w:sz="0" w:space="0" w:color="auto"/>
        <w:left w:val="none" w:sz="0" w:space="0" w:color="auto"/>
        <w:bottom w:val="none" w:sz="0" w:space="0" w:color="auto"/>
        <w:right w:val="none" w:sz="0" w:space="0" w:color="auto"/>
      </w:divBdr>
    </w:div>
    <w:div w:id="1542010760">
      <w:bodyDiv w:val="1"/>
      <w:marLeft w:val="0"/>
      <w:marRight w:val="0"/>
      <w:marTop w:val="0"/>
      <w:marBottom w:val="0"/>
      <w:divBdr>
        <w:top w:val="none" w:sz="0" w:space="0" w:color="auto"/>
        <w:left w:val="none" w:sz="0" w:space="0" w:color="auto"/>
        <w:bottom w:val="none" w:sz="0" w:space="0" w:color="auto"/>
        <w:right w:val="none" w:sz="0" w:space="0" w:color="auto"/>
      </w:divBdr>
    </w:div>
    <w:div w:id="176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ssnef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isclosure.ru/portal/company.aspx?id=534"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consultantplus://offline/ref=6BA7BBA9F40F1A2B25ABB0C12496444DCA1F129486C0EA0AEE50627770833AAFE44CAFDB71FF7853JFlDH" TargetMode="External"/><Relationship Id="rId4" Type="http://schemas.openxmlformats.org/officeDocument/2006/relationships/webSettings" Target="webSettings.xml"/><Relationship Id="rId9" Type="http://schemas.openxmlformats.org/officeDocument/2006/relationships/hyperlink" Target="consultantplus://offline/ref=1A1E232CB65C8FA198C191926F77FE6AA791DC391F4591C692DB5729242F6FEB7D21EA3C999C71FBIAgF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537</Words>
  <Characters>4331</Characters>
  <Application>Microsoft Office Word</Application>
  <DocSecurity>0</DocSecurity>
  <Lines>36</Lines>
  <Paragraphs>9</Paragraphs>
  <ScaleCrop>false</ScaleCrop>
  <HeadingPairs>
    <vt:vector size="2" baseType="variant">
      <vt:variant>
        <vt:lpstr>Название</vt:lpstr>
      </vt:variant>
      <vt:variant>
        <vt:i4>1</vt:i4>
      </vt:variant>
    </vt:vector>
  </HeadingPairs>
  <TitlesOfParts>
    <vt:vector size="1" baseType="lpstr">
      <vt:lpstr>Сообщение о существенном факте</vt:lpstr>
    </vt:vector>
  </TitlesOfParts>
  <Company>oaovn</Company>
  <LinksUpToDate>false</LinksUpToDate>
  <CharactersWithSpaces>4859</CharactersWithSpaces>
  <SharedDoc>false</SharedDoc>
  <HLinks>
    <vt:vector size="12" baseType="variant">
      <vt:variant>
        <vt:i4>2949220</vt:i4>
      </vt:variant>
      <vt:variant>
        <vt:i4>3</vt:i4>
      </vt:variant>
      <vt:variant>
        <vt:i4>0</vt:i4>
      </vt:variant>
      <vt:variant>
        <vt:i4>5</vt:i4>
      </vt:variant>
      <vt:variant>
        <vt:lpwstr>consultantplus://offline/ref=6BA7BBA9F40F1A2B25ABB0C12496444DCA1F129486C0EA0AEE50627770833AAFE44CAFDB71FF7853JFlDH</vt:lpwstr>
      </vt:variant>
      <vt:variant>
        <vt:lpwstr/>
      </vt:variant>
      <vt:variant>
        <vt:i4>8126513</vt:i4>
      </vt:variant>
      <vt:variant>
        <vt:i4>0</vt:i4>
      </vt:variant>
      <vt:variant>
        <vt:i4>0</vt:i4>
      </vt:variant>
      <vt:variant>
        <vt:i4>5</vt:i4>
      </vt:variant>
      <vt:variant>
        <vt:lpwstr>consultantplus://offline/ref=1A1E232CB65C8FA198C191926F77FE6AA791DC391F4591C692DB5729242F6FEB7D21EA3C999C71FBIAgFH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subject/>
  <dc:creator>Shipickaya</dc:creator>
  <cp:keywords/>
  <cp:lastModifiedBy>Баженова Марина Сергеевна</cp:lastModifiedBy>
  <cp:revision>4</cp:revision>
  <cp:lastPrinted>2026-05-26T07:27:00Z</cp:lastPrinted>
  <dcterms:created xsi:type="dcterms:W3CDTF">2026-05-22T14:12:00Z</dcterms:created>
  <dcterms:modified xsi:type="dcterms:W3CDTF">2026-05-26T07:28:00Z</dcterms:modified>
</cp:coreProperties>
</file>