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323F7F" w:rsidRDefault="00D671E9" w:rsidP="00323F7F">
      <w:pPr>
        <w:snapToGrid w:val="0"/>
        <w:spacing w:before="100" w:after="100" w:line="240" w:lineRule="auto"/>
        <w:jc w:val="center"/>
        <w:outlineLvl w:val="0"/>
        <w:rPr>
          <w:rFonts w:ascii="Arial" w:hAnsi="Arial" w:cs="Arial"/>
          <w:b/>
          <w:sz w:val="24"/>
        </w:rPr>
      </w:pPr>
      <w:r w:rsidRPr="00323F7F">
        <w:rPr>
          <w:rFonts w:ascii="Arial" w:hAnsi="Arial" w:cs="Arial"/>
          <w:b/>
          <w:sz w:val="24"/>
        </w:rPr>
        <w:t>PJSC “RUSSNEFT” PRESS SERVICE</w:t>
      </w:r>
    </w:p>
    <w:p w:rsidR="00D671E9" w:rsidRPr="00323F7F" w:rsidRDefault="00D671E9" w:rsidP="00323F7F">
      <w:pPr>
        <w:snapToGrid w:val="0"/>
        <w:spacing w:before="100" w:after="100" w:line="240" w:lineRule="auto"/>
        <w:jc w:val="center"/>
        <w:outlineLvl w:val="0"/>
        <w:rPr>
          <w:rFonts w:ascii="Arial" w:hAnsi="Arial"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D671E9" w:rsidRPr="00323F7F" w:rsidTr="00323F7F">
        <w:trPr>
          <w:trHeight w:val="1367"/>
        </w:trPr>
        <w:tc>
          <w:tcPr>
            <w:tcW w:w="4815"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Tel.</w:t>
            </w:r>
            <w:r w:rsidRPr="00323F7F">
              <w:rPr>
                <w:rFonts w:ascii="Arial" w:eastAsia="Calibri" w:hAnsi="Arial" w:cs="Arial"/>
                <w:b/>
                <w:color w:val="000000"/>
                <w:sz w:val="24"/>
                <w:szCs w:val="24"/>
                <w:lang w:val="it-IT"/>
              </w:rPr>
              <w:t>: (495) 411-63-24; (495) 411-63-21</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Fax</w:t>
            </w:r>
            <w:r w:rsidRPr="00323F7F">
              <w:rPr>
                <w:rFonts w:ascii="Arial" w:eastAsia="Calibri" w:hAnsi="Arial" w:cs="Arial"/>
                <w:b/>
                <w:color w:val="000000"/>
                <w:sz w:val="24"/>
                <w:szCs w:val="24"/>
                <w:lang w:val="it-IT"/>
              </w:rPr>
              <w:t xml:space="preserve">: (495) 411-63-19 </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it-IT"/>
              </w:rPr>
              <w:t>E-mail: pr@russneft.ru</w:t>
            </w:r>
          </w:p>
          <w:p w:rsidR="00D671E9" w:rsidRPr="00323F7F" w:rsidRDefault="00AF4653" w:rsidP="00D671E9">
            <w:pPr>
              <w:spacing w:after="0" w:line="240" w:lineRule="auto"/>
              <w:jc w:val="both"/>
              <w:rPr>
                <w:rFonts w:ascii="Arial" w:eastAsia="Calibri" w:hAnsi="Arial" w:cs="Arial"/>
                <w:color w:val="000000"/>
                <w:sz w:val="24"/>
                <w:szCs w:val="24"/>
              </w:rPr>
            </w:pPr>
            <w:hyperlink r:id="rId5" w:history="1">
              <w:r w:rsidR="00D671E9" w:rsidRPr="00323F7F">
                <w:rPr>
                  <w:rFonts w:ascii="Arial" w:eastAsia="Calibri" w:hAnsi="Arial" w:cs="Arial"/>
                  <w:b/>
                  <w:color w:val="0000FF"/>
                  <w:sz w:val="24"/>
                  <w:szCs w:val="24"/>
                  <w:u w:val="single"/>
                </w:rPr>
                <w:t>www.russneft.ru</w:t>
              </w:r>
            </w:hyperlink>
          </w:p>
        </w:tc>
        <w:tc>
          <w:tcPr>
            <w:tcW w:w="4530"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rPr>
                <w:rFonts w:ascii="Arial" w:eastAsia="Calibri" w:hAnsi="Arial" w:cs="Arial"/>
                <w:b/>
                <w:color w:val="000000"/>
                <w:sz w:val="24"/>
                <w:szCs w:val="24"/>
              </w:rPr>
            </w:pPr>
            <w:r w:rsidRPr="00323F7F">
              <w:rPr>
                <w:rFonts w:ascii="Arial" w:eastAsia="Calibri" w:hAnsi="Arial" w:cs="Arial"/>
                <w:b/>
                <w:color w:val="000000"/>
                <w:sz w:val="24"/>
                <w:szCs w:val="24"/>
              </w:rPr>
              <w:t xml:space="preserve">115054, </w:t>
            </w:r>
            <w:r w:rsidRPr="00323F7F">
              <w:rPr>
                <w:rFonts w:ascii="Arial" w:eastAsia="Calibri" w:hAnsi="Arial" w:cs="Arial"/>
                <w:b/>
                <w:color w:val="000000"/>
                <w:sz w:val="24"/>
                <w:szCs w:val="24"/>
                <w:lang w:val="en-US"/>
              </w:rPr>
              <w:t>Moscow</w:t>
            </w:r>
            <w:r w:rsidRPr="00323F7F">
              <w:rPr>
                <w:rFonts w:ascii="Arial" w:eastAsia="Calibri" w:hAnsi="Arial" w:cs="Arial"/>
                <w:b/>
                <w:color w:val="000000"/>
                <w:sz w:val="24"/>
                <w:szCs w:val="24"/>
              </w:rPr>
              <w:t xml:space="preserve">, </w:t>
            </w:r>
          </w:p>
          <w:p w:rsidR="00D671E9" w:rsidRPr="00323F7F" w:rsidRDefault="00D671E9" w:rsidP="00D671E9">
            <w:pPr>
              <w:spacing w:after="0" w:line="240" w:lineRule="auto"/>
              <w:rPr>
                <w:rFonts w:ascii="Arial" w:eastAsia="Calibri" w:hAnsi="Arial" w:cs="Arial"/>
                <w:color w:val="000000"/>
                <w:sz w:val="24"/>
                <w:szCs w:val="24"/>
              </w:rPr>
            </w:pPr>
            <w:proofErr w:type="spellStart"/>
            <w:r w:rsidRPr="00323F7F">
              <w:rPr>
                <w:rFonts w:ascii="Arial" w:eastAsia="Calibri" w:hAnsi="Arial" w:cs="Arial"/>
                <w:b/>
                <w:color w:val="000000"/>
                <w:sz w:val="24"/>
                <w:szCs w:val="24"/>
                <w:lang w:val="en-US"/>
              </w:rPr>
              <w:t>Pyatnitskaya</w:t>
            </w:r>
            <w:proofErr w:type="spellEnd"/>
            <w:r w:rsidRPr="00323F7F">
              <w:rPr>
                <w:rFonts w:ascii="Arial" w:eastAsia="Calibri" w:hAnsi="Arial" w:cs="Arial"/>
                <w:b/>
                <w:color w:val="000000"/>
                <w:sz w:val="24"/>
                <w:szCs w:val="24"/>
              </w:rPr>
              <w:t xml:space="preserve"> </w:t>
            </w:r>
            <w:proofErr w:type="spellStart"/>
            <w:r w:rsidRPr="00323F7F">
              <w:rPr>
                <w:rFonts w:ascii="Arial" w:eastAsia="Calibri" w:hAnsi="Arial" w:cs="Arial"/>
                <w:b/>
                <w:color w:val="000000"/>
                <w:sz w:val="24"/>
                <w:szCs w:val="24"/>
                <w:lang w:val="en-US"/>
              </w:rPr>
              <w:t>str</w:t>
            </w:r>
            <w:proofErr w:type="spellEnd"/>
            <w:r w:rsidRPr="00323F7F">
              <w:rPr>
                <w:rFonts w:ascii="Arial" w:eastAsia="Calibri" w:hAnsi="Arial" w:cs="Arial"/>
                <w:b/>
                <w:color w:val="000000"/>
                <w:sz w:val="24"/>
                <w:szCs w:val="24"/>
              </w:rPr>
              <w:t>., 69</w:t>
            </w:r>
            <w:r w:rsidRPr="00323F7F">
              <w:rPr>
                <w:rFonts w:ascii="Arial" w:eastAsia="Calibri" w:hAnsi="Arial" w:cs="Arial"/>
                <w:b/>
                <w:color w:val="000000"/>
                <w:sz w:val="24"/>
                <w:szCs w:val="24"/>
              </w:rPr>
              <w:br/>
            </w:r>
            <w:r w:rsidRPr="00323F7F">
              <w:rPr>
                <w:rFonts w:ascii="Arial" w:eastAsia="Calibri" w:hAnsi="Arial" w:cs="Arial"/>
                <w:color w:val="000000"/>
                <w:sz w:val="24"/>
                <w:szCs w:val="24"/>
              </w:rPr>
              <w:t xml:space="preserve"> </w:t>
            </w:r>
          </w:p>
          <w:p w:rsidR="00D671E9" w:rsidRPr="00323F7F" w:rsidRDefault="00D671E9" w:rsidP="00D671E9">
            <w:pPr>
              <w:spacing w:after="0" w:line="240" w:lineRule="auto"/>
              <w:ind w:firstLine="708"/>
              <w:rPr>
                <w:rFonts w:ascii="Arial" w:eastAsia="Calibri" w:hAnsi="Arial" w:cs="Arial"/>
                <w:color w:val="000000"/>
                <w:sz w:val="24"/>
                <w:szCs w:val="24"/>
              </w:rPr>
            </w:pPr>
            <w:r w:rsidRPr="00323F7F">
              <w:rPr>
                <w:rFonts w:ascii="Arial" w:eastAsia="Calibri" w:hAnsi="Arial" w:cs="Arial"/>
                <w:color w:val="000000"/>
                <w:sz w:val="24"/>
                <w:szCs w:val="24"/>
              </w:rPr>
              <w:t xml:space="preserve"> </w:t>
            </w:r>
          </w:p>
        </w:tc>
      </w:tr>
    </w:tbl>
    <w:p w:rsidR="008B4210" w:rsidRDefault="008B4210" w:rsidP="00323F7F">
      <w:pPr>
        <w:spacing w:before="100" w:after="100" w:line="240" w:lineRule="auto"/>
        <w:jc w:val="center"/>
        <w:rPr>
          <w:rFonts w:ascii="Arial" w:eastAsia="Times New Roman" w:hAnsi="Arial" w:cs="Times New Roman"/>
          <w:b/>
          <w:snapToGrid w:val="0"/>
          <w:sz w:val="28"/>
          <w:szCs w:val="28"/>
          <w:lang w:val="en-US" w:eastAsia="ru-RU"/>
        </w:rPr>
      </w:pPr>
    </w:p>
    <w:p w:rsidR="00D671E9" w:rsidRPr="00323F7F" w:rsidRDefault="00D671E9" w:rsidP="00323F7F">
      <w:pPr>
        <w:spacing w:before="100" w:after="100" w:line="240" w:lineRule="auto"/>
        <w:jc w:val="center"/>
        <w:rPr>
          <w:rFonts w:ascii="Arial" w:eastAsia="Times New Roman" w:hAnsi="Arial" w:cs="Times New Roman"/>
          <w:b/>
          <w:snapToGrid w:val="0"/>
          <w:sz w:val="28"/>
          <w:szCs w:val="28"/>
          <w:lang w:val="en-US" w:eastAsia="ru-RU"/>
        </w:rPr>
      </w:pPr>
      <w:r w:rsidRPr="00323F7F">
        <w:rPr>
          <w:rFonts w:ascii="Arial" w:eastAsia="Times New Roman" w:hAnsi="Arial" w:cs="Times New Roman"/>
          <w:b/>
          <w:snapToGrid w:val="0"/>
          <w:sz w:val="28"/>
          <w:szCs w:val="28"/>
          <w:lang w:val="en-US" w:eastAsia="ru-RU"/>
        </w:rPr>
        <w:t>PRESS RELEASE</w:t>
      </w:r>
    </w:p>
    <w:p w:rsidR="00D671E9" w:rsidRPr="00323F7F" w:rsidRDefault="008B4210" w:rsidP="00D671E9">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March</w:t>
      </w:r>
      <w:r w:rsidR="00323F7F">
        <w:rPr>
          <w:rFonts w:ascii="Arial" w:eastAsia="Times New Roman" w:hAnsi="Arial" w:cs="Arial"/>
          <w:b/>
          <w:color w:val="000000"/>
          <w:sz w:val="28"/>
          <w:szCs w:val="28"/>
          <w:lang w:val="en-US" w:eastAsia="ru-RU"/>
        </w:rPr>
        <w:t xml:space="preserve"> </w:t>
      </w:r>
      <w:r w:rsidR="00AF4653">
        <w:rPr>
          <w:rFonts w:ascii="Arial" w:eastAsia="Times New Roman" w:hAnsi="Arial" w:cs="Arial"/>
          <w:b/>
          <w:color w:val="000000"/>
          <w:sz w:val="28"/>
          <w:szCs w:val="28"/>
          <w:lang w:eastAsia="ru-RU"/>
        </w:rPr>
        <w:t>11</w:t>
      </w:r>
      <w:bookmarkStart w:id="2" w:name="_GoBack"/>
      <w:bookmarkEnd w:id="2"/>
      <w:r w:rsidR="00D671E9" w:rsidRPr="00323F7F">
        <w:rPr>
          <w:rFonts w:ascii="Arial" w:eastAsia="Times New Roman" w:hAnsi="Arial" w:cs="Arial"/>
          <w:b/>
          <w:color w:val="000000"/>
          <w:sz w:val="28"/>
          <w:szCs w:val="28"/>
          <w:lang w:val="en-US" w:eastAsia="ru-RU"/>
        </w:rPr>
        <w:t>, 202</w:t>
      </w:r>
      <w:r w:rsidR="00323F7F">
        <w:rPr>
          <w:rFonts w:ascii="Arial" w:eastAsia="Times New Roman" w:hAnsi="Arial" w:cs="Arial"/>
          <w:b/>
          <w:color w:val="000000"/>
          <w:sz w:val="28"/>
          <w:szCs w:val="28"/>
          <w:lang w:val="en-US" w:eastAsia="ru-RU"/>
        </w:rPr>
        <w:t>2</w:t>
      </w:r>
    </w:p>
    <w:p w:rsidR="00D671E9" w:rsidRPr="00323F7F" w:rsidRDefault="00D671E9" w:rsidP="00D671E9">
      <w:pPr>
        <w:spacing w:after="0" w:line="240" w:lineRule="auto"/>
        <w:jc w:val="center"/>
        <w:rPr>
          <w:rFonts w:ascii="Arial" w:eastAsia="Calibri" w:hAnsi="Arial" w:cs="Arial"/>
          <w:b/>
          <w:color w:val="000000"/>
          <w:sz w:val="28"/>
          <w:szCs w:val="28"/>
          <w:lang w:val="en-US"/>
        </w:rPr>
      </w:pPr>
    </w:p>
    <w:bookmarkEnd w:id="0"/>
    <w:bookmarkEnd w:id="1"/>
    <w:p w:rsidR="008B4210" w:rsidRPr="008B4210" w:rsidRDefault="008B4210" w:rsidP="008B4210">
      <w:pPr>
        <w:spacing w:after="0" w:line="240" w:lineRule="auto"/>
        <w:jc w:val="both"/>
        <w:rPr>
          <w:rFonts w:ascii="Times New Roman" w:eastAsia="Times New Roman" w:hAnsi="Times New Roman" w:cs="Times New Roman"/>
          <w:color w:val="000000"/>
          <w:sz w:val="28"/>
          <w:szCs w:val="28"/>
          <w:lang w:val="en" w:eastAsia="ru-RU"/>
        </w:rPr>
      </w:pPr>
      <w:r w:rsidRPr="008B4210">
        <w:rPr>
          <w:rFonts w:ascii="Times New Roman" w:eastAsia="Times New Roman" w:hAnsi="Times New Roman" w:cs="Times New Roman"/>
          <w:color w:val="000000"/>
          <w:sz w:val="28"/>
          <w:szCs w:val="28"/>
          <w:lang w:val="en" w:eastAsia="ru-RU"/>
        </w:rPr>
        <w:t>Nizhnevartovsk branch of RussNeft has prepared 12 projects to optimize production costs</w:t>
      </w:r>
    </w:p>
    <w:p w:rsidR="008B4210" w:rsidRPr="008B4210" w:rsidRDefault="008B4210" w:rsidP="008B4210">
      <w:pPr>
        <w:spacing w:after="0" w:line="240" w:lineRule="auto"/>
        <w:jc w:val="both"/>
        <w:rPr>
          <w:rFonts w:ascii="Times New Roman" w:eastAsia="Times New Roman" w:hAnsi="Times New Roman" w:cs="Times New Roman"/>
          <w:color w:val="000000"/>
          <w:sz w:val="28"/>
          <w:szCs w:val="28"/>
          <w:lang w:val="en" w:eastAsia="ru-RU"/>
        </w:rPr>
      </w:pPr>
    </w:p>
    <w:p w:rsidR="008B4210" w:rsidRPr="008B4210" w:rsidRDefault="008B4210" w:rsidP="008B4210">
      <w:pPr>
        <w:spacing w:after="0" w:line="240" w:lineRule="auto"/>
        <w:jc w:val="both"/>
        <w:rPr>
          <w:rFonts w:ascii="Times New Roman" w:eastAsia="Times New Roman" w:hAnsi="Times New Roman" w:cs="Times New Roman"/>
          <w:color w:val="000000"/>
          <w:sz w:val="28"/>
          <w:szCs w:val="28"/>
          <w:lang w:val="en" w:eastAsia="ru-RU"/>
        </w:rPr>
      </w:pPr>
      <w:r w:rsidRPr="008B4210">
        <w:rPr>
          <w:rFonts w:ascii="Times New Roman" w:eastAsia="Times New Roman" w:hAnsi="Times New Roman" w:cs="Times New Roman"/>
          <w:color w:val="000000"/>
          <w:sz w:val="28"/>
          <w:szCs w:val="28"/>
          <w:lang w:val="en" w:eastAsia="ru-RU"/>
        </w:rPr>
        <w:t xml:space="preserve">The planned economic effect from the implementation by the Nizhnevartovsk branch of PJSC </w:t>
      </w:r>
      <w:r>
        <w:rPr>
          <w:rFonts w:ascii="Times New Roman" w:eastAsia="Times New Roman" w:hAnsi="Times New Roman" w:cs="Times New Roman"/>
          <w:color w:val="000000"/>
          <w:sz w:val="28"/>
          <w:szCs w:val="28"/>
          <w:lang w:val="en" w:eastAsia="ru-RU"/>
        </w:rPr>
        <w:t>“</w:t>
      </w:r>
      <w:r w:rsidRPr="008B4210">
        <w:rPr>
          <w:rFonts w:ascii="Times New Roman" w:eastAsia="Times New Roman" w:hAnsi="Times New Roman" w:cs="Times New Roman"/>
          <w:color w:val="000000"/>
          <w:sz w:val="28"/>
          <w:szCs w:val="28"/>
          <w:lang w:val="en" w:eastAsia="ru-RU"/>
        </w:rPr>
        <w:t>RussNeft</w:t>
      </w:r>
      <w:r>
        <w:rPr>
          <w:rFonts w:ascii="Times New Roman" w:eastAsia="Times New Roman" w:hAnsi="Times New Roman" w:cs="Times New Roman"/>
          <w:color w:val="000000"/>
          <w:sz w:val="28"/>
          <w:szCs w:val="28"/>
          <w:lang w:val="en" w:eastAsia="ru-RU"/>
        </w:rPr>
        <w:t>”</w:t>
      </w:r>
      <w:r w:rsidRPr="008B4210">
        <w:rPr>
          <w:rFonts w:ascii="Times New Roman" w:eastAsia="Times New Roman" w:hAnsi="Times New Roman" w:cs="Times New Roman"/>
          <w:color w:val="000000"/>
          <w:sz w:val="28"/>
          <w:szCs w:val="28"/>
          <w:lang w:val="en" w:eastAsia="ru-RU"/>
        </w:rPr>
        <w:t xml:space="preserve"> of 12 projects to optimize production costs will be about 36 million rubles.</w:t>
      </w:r>
    </w:p>
    <w:p w:rsidR="008B4210" w:rsidRPr="008B4210" w:rsidRDefault="008B4210" w:rsidP="008B4210">
      <w:pPr>
        <w:spacing w:after="0" w:line="240" w:lineRule="auto"/>
        <w:jc w:val="both"/>
        <w:rPr>
          <w:rFonts w:ascii="Times New Roman" w:eastAsia="Times New Roman" w:hAnsi="Times New Roman" w:cs="Times New Roman"/>
          <w:color w:val="000000"/>
          <w:sz w:val="28"/>
          <w:szCs w:val="28"/>
          <w:lang w:val="en" w:eastAsia="ru-RU"/>
        </w:rPr>
      </w:pPr>
      <w:r w:rsidRPr="008B4210">
        <w:rPr>
          <w:rFonts w:ascii="Times New Roman" w:eastAsia="Times New Roman" w:hAnsi="Times New Roman" w:cs="Times New Roman"/>
          <w:color w:val="000000"/>
          <w:sz w:val="28"/>
          <w:szCs w:val="28"/>
          <w:lang w:val="en" w:eastAsia="ru-RU"/>
        </w:rPr>
        <w:t>In 2021, the scientific and technical council of RussNeft reviewed and recommended the projects of the Nizhnevartovs</w:t>
      </w:r>
      <w:r>
        <w:rPr>
          <w:rFonts w:ascii="Times New Roman" w:eastAsia="Times New Roman" w:hAnsi="Times New Roman" w:cs="Times New Roman"/>
          <w:color w:val="000000"/>
          <w:sz w:val="28"/>
          <w:szCs w:val="28"/>
          <w:lang w:val="en" w:eastAsia="ru-RU"/>
        </w:rPr>
        <w:t>k branch for implementation. Tho</w:t>
      </w:r>
      <w:r w:rsidRPr="008B4210">
        <w:rPr>
          <w:rFonts w:ascii="Times New Roman" w:eastAsia="Times New Roman" w:hAnsi="Times New Roman" w:cs="Times New Roman"/>
          <w:color w:val="000000"/>
          <w:sz w:val="28"/>
          <w:szCs w:val="28"/>
          <w:lang w:val="en" w:eastAsia="ru-RU"/>
        </w:rPr>
        <w:t xml:space="preserve">se proposals relate to heat and energy </w:t>
      </w:r>
      <w:r>
        <w:rPr>
          <w:rFonts w:ascii="Times New Roman" w:eastAsia="Times New Roman" w:hAnsi="Times New Roman" w:cs="Times New Roman"/>
          <w:color w:val="000000"/>
          <w:sz w:val="28"/>
          <w:szCs w:val="28"/>
          <w:lang w:val="en-US" w:eastAsia="ru-RU"/>
        </w:rPr>
        <w:t>saving</w:t>
      </w:r>
      <w:r w:rsidRPr="008B4210">
        <w:rPr>
          <w:rFonts w:ascii="Times New Roman" w:eastAsia="Times New Roman" w:hAnsi="Times New Roman" w:cs="Times New Roman"/>
          <w:color w:val="000000"/>
          <w:sz w:val="28"/>
          <w:szCs w:val="28"/>
          <w:lang w:val="en" w:eastAsia="ru-RU"/>
        </w:rPr>
        <w:t xml:space="preserve">, import substitution, and use of new schemes for the </w:t>
      </w:r>
      <w:r>
        <w:rPr>
          <w:rFonts w:ascii="Times New Roman" w:eastAsia="Times New Roman" w:hAnsi="Times New Roman" w:cs="Times New Roman"/>
          <w:color w:val="000000"/>
          <w:sz w:val="28"/>
          <w:szCs w:val="28"/>
          <w:lang w:val="en" w:eastAsia="ru-RU"/>
        </w:rPr>
        <w:t>process</w:t>
      </w:r>
      <w:r w:rsidRPr="008B4210">
        <w:rPr>
          <w:rFonts w:ascii="Times New Roman" w:eastAsia="Times New Roman" w:hAnsi="Times New Roman" w:cs="Times New Roman"/>
          <w:color w:val="000000"/>
          <w:sz w:val="28"/>
          <w:szCs w:val="28"/>
          <w:lang w:val="en" w:eastAsia="ru-RU"/>
        </w:rPr>
        <w:t xml:space="preserve"> equipment operation.</w:t>
      </w:r>
    </w:p>
    <w:p w:rsidR="002766F2" w:rsidRPr="008B4210" w:rsidRDefault="008B4210" w:rsidP="008B4210">
      <w:pPr>
        <w:spacing w:after="0" w:line="240" w:lineRule="auto"/>
        <w:jc w:val="both"/>
        <w:rPr>
          <w:rFonts w:ascii="Times New Roman" w:eastAsia="Calibri" w:hAnsi="Times New Roman" w:cs="Times New Roman"/>
          <w:color w:val="000000"/>
          <w:sz w:val="28"/>
          <w:szCs w:val="28"/>
          <w:lang w:val="en"/>
        </w:rPr>
      </w:pPr>
      <w:r w:rsidRPr="008B4210">
        <w:rPr>
          <w:rFonts w:ascii="Times New Roman" w:eastAsia="Times New Roman" w:hAnsi="Times New Roman" w:cs="Times New Roman"/>
          <w:color w:val="000000"/>
          <w:sz w:val="28"/>
          <w:szCs w:val="28"/>
          <w:lang w:val="en" w:eastAsia="ru-RU"/>
        </w:rPr>
        <w:t xml:space="preserve">The corporate program to optimize production costs </w:t>
      </w:r>
      <w:proofErr w:type="gramStart"/>
      <w:r w:rsidRPr="008B4210">
        <w:rPr>
          <w:rFonts w:ascii="Times New Roman" w:eastAsia="Times New Roman" w:hAnsi="Times New Roman" w:cs="Times New Roman"/>
          <w:color w:val="000000"/>
          <w:sz w:val="28"/>
          <w:szCs w:val="28"/>
          <w:lang w:val="en" w:eastAsia="ru-RU"/>
        </w:rPr>
        <w:t>has been implemented</w:t>
      </w:r>
      <w:proofErr w:type="gramEnd"/>
      <w:r w:rsidRPr="008B4210">
        <w:rPr>
          <w:rFonts w:ascii="Times New Roman" w:eastAsia="Times New Roman" w:hAnsi="Times New Roman" w:cs="Times New Roman"/>
          <w:color w:val="000000"/>
          <w:sz w:val="28"/>
          <w:szCs w:val="28"/>
          <w:lang w:val="en" w:eastAsia="ru-RU"/>
        </w:rPr>
        <w:t xml:space="preserve"> in the Company for more than five years. Its main goal is to involve each employee of the Company in the process of optimizing production processes and costs with the maximum focus on the consumer.</w:t>
      </w:r>
    </w:p>
    <w:p w:rsidR="00112235" w:rsidRDefault="00112235" w:rsidP="002766F2">
      <w:pPr>
        <w:spacing w:after="0" w:line="240" w:lineRule="auto"/>
        <w:jc w:val="both"/>
        <w:rPr>
          <w:rFonts w:ascii="Times New Roman" w:eastAsia="Calibri" w:hAnsi="Times New Roman" w:cs="Times New Roman"/>
          <w:color w:val="000000"/>
          <w:sz w:val="28"/>
          <w:szCs w:val="28"/>
          <w:lang w:val="en"/>
        </w:rPr>
      </w:pPr>
    </w:p>
    <w:p w:rsidR="008B4210" w:rsidRDefault="008B4210" w:rsidP="002766F2">
      <w:pPr>
        <w:spacing w:after="0" w:line="240" w:lineRule="auto"/>
        <w:jc w:val="both"/>
        <w:rPr>
          <w:rFonts w:ascii="Times New Roman" w:eastAsia="Calibri" w:hAnsi="Times New Roman" w:cs="Times New Roman"/>
          <w:color w:val="000000"/>
          <w:sz w:val="28"/>
          <w:szCs w:val="28"/>
          <w:lang w:val="en"/>
        </w:rPr>
      </w:pPr>
    </w:p>
    <w:p w:rsidR="008B4210" w:rsidRDefault="008B4210" w:rsidP="002766F2">
      <w:pPr>
        <w:spacing w:after="0" w:line="240" w:lineRule="auto"/>
        <w:jc w:val="both"/>
        <w:rPr>
          <w:rFonts w:ascii="Times New Roman" w:eastAsia="Calibri" w:hAnsi="Times New Roman" w:cs="Times New Roman"/>
          <w:b/>
          <w:color w:val="000000"/>
          <w:sz w:val="28"/>
          <w:szCs w:val="32"/>
          <w:lang w:val="en-US" w:eastAsia="ru-RU"/>
        </w:rPr>
      </w:pP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lastRenderedPageBreak/>
        <w:t>About the Company:</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PJSC “RussNeft” ranks among the top-</w:t>
      </w:r>
      <w:r w:rsidR="008B4210">
        <w:rPr>
          <w:rFonts w:ascii="Times New Roman" w:eastAsia="Calibri" w:hAnsi="Times New Roman" w:cs="Times New Roman"/>
          <w:color w:val="000000"/>
          <w:sz w:val="28"/>
          <w:szCs w:val="32"/>
          <w:lang w:val="en-US" w:eastAsia="ru-RU"/>
        </w:rPr>
        <w:t>10</w:t>
      </w:r>
      <w:r w:rsidRPr="00D671E9">
        <w:rPr>
          <w:rFonts w:ascii="Times New Roman" w:eastAsia="Calibri" w:hAnsi="Times New Roman" w:cs="Times New Roman"/>
          <w:color w:val="000000"/>
          <w:sz w:val="28"/>
          <w:szCs w:val="32"/>
          <w:lang w:val="en-US" w:eastAsia="ru-RU"/>
        </w:rPr>
        <w:t xml:space="preserve"> largest oil companies by crude oil production in Russia.</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The Company possesses a well-balanced portfolio of assets located in the key Russian oil and gas provinces (West Siberia, Volga-Urals and Central Siberia) as well as in Azerbaijan.</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r w:rsidRPr="00D671E9">
        <w:rPr>
          <w:rFonts w:ascii="Times New Roman" w:eastAsia="Calibri" w:hAnsi="Times New Roman" w:cs="Times New Roman"/>
          <w:color w:val="000000"/>
          <w:sz w:val="28"/>
          <w:szCs w:val="32"/>
          <w:lang w:val="en-US" w:eastAsia="ru-RU"/>
        </w:rPr>
        <w:t>The headc</w:t>
      </w:r>
      <w:r w:rsidR="00F330A8">
        <w:rPr>
          <w:rFonts w:ascii="Times New Roman" w:eastAsia="Calibri" w:hAnsi="Times New Roman" w:cs="Times New Roman"/>
          <w:color w:val="000000"/>
          <w:sz w:val="28"/>
          <w:szCs w:val="32"/>
          <w:lang w:val="en-US" w:eastAsia="ru-RU"/>
        </w:rPr>
        <w:t>ount of the Company is around 8</w:t>
      </w:r>
      <w:r w:rsidRPr="00D671E9">
        <w:rPr>
          <w:rFonts w:ascii="Times New Roman" w:eastAsia="Calibri" w:hAnsi="Times New Roman" w:cs="Times New Roman"/>
          <w:color w:val="000000"/>
          <w:sz w:val="28"/>
          <w:szCs w:val="32"/>
          <w:lang w:val="en-US" w:eastAsia="ru-RU"/>
        </w:rPr>
        <w:t>,000 employees.</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p>
    <w:p w:rsidR="00D671E9" w:rsidRPr="008B4210" w:rsidRDefault="00D671E9" w:rsidP="004E0615">
      <w:pPr>
        <w:spacing w:after="120" w:line="240" w:lineRule="atLeast"/>
        <w:ind w:left="4253" w:right="-143"/>
        <w:rPr>
          <w:rFonts w:ascii="Arial" w:eastAsia="Times New Roman" w:hAnsi="Arial" w:cs="Arial"/>
          <w:b/>
          <w:bCs/>
          <w:sz w:val="24"/>
          <w:szCs w:val="24"/>
          <w:lang w:val="en-US" w:eastAsia="ru-RU"/>
        </w:rPr>
      </w:pPr>
      <w:r w:rsidRPr="008B4210">
        <w:rPr>
          <w:rFonts w:ascii="Arial" w:eastAsia="Times New Roman" w:hAnsi="Arial" w:cs="Arial"/>
          <w:b/>
          <w:bCs/>
          <w:sz w:val="24"/>
          <w:szCs w:val="24"/>
          <w:lang w:val="en-US" w:eastAsia="ru-RU"/>
        </w:rPr>
        <w:t>PJSC “RussNeft” Press Service</w:t>
      </w:r>
    </w:p>
    <w:p w:rsidR="00D671E9" w:rsidRPr="008B4210" w:rsidRDefault="00D671E9" w:rsidP="004E0615">
      <w:pPr>
        <w:spacing w:after="120" w:line="240" w:lineRule="atLeast"/>
        <w:ind w:left="4253" w:right="-143"/>
        <w:rPr>
          <w:rFonts w:ascii="Arial" w:eastAsia="Times New Roman" w:hAnsi="Arial" w:cs="Arial"/>
          <w:b/>
          <w:bCs/>
          <w:sz w:val="24"/>
          <w:szCs w:val="24"/>
          <w:lang w:val="en-US" w:eastAsia="ru-RU"/>
        </w:rPr>
      </w:pPr>
      <w:r w:rsidRPr="008B4210">
        <w:rPr>
          <w:rFonts w:ascii="Arial" w:eastAsia="Times New Roman" w:hAnsi="Arial" w:cs="Arial"/>
          <w:b/>
          <w:bCs/>
          <w:sz w:val="24"/>
          <w:szCs w:val="24"/>
          <w:lang w:val="en-US" w:eastAsia="ru-RU"/>
        </w:rPr>
        <w:t>Tel.: (495) 411-63-24, Fax: (495) 411-63-19</w:t>
      </w:r>
    </w:p>
    <w:p w:rsidR="001974BE" w:rsidRPr="004E0615" w:rsidRDefault="00D671E9" w:rsidP="004E0615">
      <w:pPr>
        <w:spacing w:after="120" w:line="240" w:lineRule="atLeast"/>
        <w:ind w:left="4253" w:right="-143"/>
        <w:rPr>
          <w:rFonts w:ascii="Arial" w:eastAsia="Times New Roman" w:hAnsi="Arial" w:cs="Arial"/>
          <w:b/>
          <w:bCs/>
          <w:sz w:val="24"/>
          <w:szCs w:val="24"/>
          <w:lang w:eastAsia="ru-RU"/>
        </w:rPr>
      </w:pPr>
      <w:r w:rsidRPr="004E0615">
        <w:rPr>
          <w:rFonts w:ascii="Arial" w:eastAsia="Times New Roman" w:hAnsi="Arial" w:cs="Arial"/>
          <w:b/>
          <w:bCs/>
          <w:sz w:val="24"/>
          <w:szCs w:val="24"/>
          <w:lang w:eastAsia="ru-RU"/>
        </w:rPr>
        <w:t>E-</w:t>
      </w:r>
      <w:proofErr w:type="spellStart"/>
      <w:r w:rsidRPr="004E0615">
        <w:rPr>
          <w:rFonts w:ascii="Arial" w:eastAsia="Times New Roman" w:hAnsi="Arial" w:cs="Arial"/>
          <w:b/>
          <w:bCs/>
          <w:sz w:val="24"/>
          <w:szCs w:val="24"/>
          <w:lang w:eastAsia="ru-RU"/>
        </w:rPr>
        <w:t>mail</w:t>
      </w:r>
      <w:proofErr w:type="spellEnd"/>
      <w:r w:rsidRPr="004E0615">
        <w:rPr>
          <w:rFonts w:ascii="Arial" w:eastAsia="Times New Roman" w:hAnsi="Arial" w:cs="Arial"/>
          <w:b/>
          <w:bCs/>
          <w:sz w:val="24"/>
          <w:szCs w:val="24"/>
          <w:lang w:eastAsia="ru-RU"/>
        </w:rPr>
        <w:t>: pr@russneft.ru</w:t>
      </w:r>
    </w:p>
    <w:sectPr w:rsidR="001974BE" w:rsidRPr="004E0615" w:rsidSect="002766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FA1"/>
    <w:rsid w:val="000675BB"/>
    <w:rsid w:val="00070138"/>
    <w:rsid w:val="0007246F"/>
    <w:rsid w:val="00073D99"/>
    <w:rsid w:val="00074A07"/>
    <w:rsid w:val="00074F57"/>
    <w:rsid w:val="000753FB"/>
    <w:rsid w:val="00076158"/>
    <w:rsid w:val="00076A90"/>
    <w:rsid w:val="00076E10"/>
    <w:rsid w:val="00076E5D"/>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A2E"/>
    <w:rsid w:val="000E5C6B"/>
    <w:rsid w:val="000E6A61"/>
    <w:rsid w:val="000E6CC6"/>
    <w:rsid w:val="000E705B"/>
    <w:rsid w:val="000E742A"/>
    <w:rsid w:val="000E7D48"/>
    <w:rsid w:val="000F054E"/>
    <w:rsid w:val="000F0977"/>
    <w:rsid w:val="000F4434"/>
    <w:rsid w:val="000F4579"/>
    <w:rsid w:val="000F48AC"/>
    <w:rsid w:val="000F4E8B"/>
    <w:rsid w:val="000F4FF3"/>
    <w:rsid w:val="000F54EC"/>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377E"/>
    <w:rsid w:val="00143950"/>
    <w:rsid w:val="00143E6F"/>
    <w:rsid w:val="00144C6B"/>
    <w:rsid w:val="0014532B"/>
    <w:rsid w:val="0014564B"/>
    <w:rsid w:val="00145B2D"/>
    <w:rsid w:val="00146A9D"/>
    <w:rsid w:val="00146B9B"/>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3F7F"/>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3B3"/>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0615"/>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506"/>
    <w:rsid w:val="007D1988"/>
    <w:rsid w:val="007D1FEF"/>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A70"/>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210"/>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653"/>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20FE"/>
    <w:rsid w:val="00E02420"/>
    <w:rsid w:val="00E02CEF"/>
    <w:rsid w:val="00E033D1"/>
    <w:rsid w:val="00E0381D"/>
    <w:rsid w:val="00E0393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8749"/>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4</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2022-03-14T14:03:00Z</dcterms:created>
  <dcterms:modified xsi:type="dcterms:W3CDTF">2022-03-14T14:03:00Z</dcterms:modified>
</cp:coreProperties>
</file>