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20" w:rsidRPr="00F97496" w:rsidRDefault="006F3B20" w:rsidP="006F3B20">
      <w:pPr>
        <w:jc w:val="center"/>
        <w:rPr>
          <w:color w:val="000000"/>
          <w:sz w:val="32"/>
          <w:szCs w:val="32"/>
        </w:rPr>
      </w:pPr>
      <w:bookmarkStart w:id="0" w:name="OLE_LINK3"/>
      <w:bookmarkStart w:id="1" w:name="OLE_LINK4"/>
      <w:bookmarkStart w:id="2" w:name="_GoBack"/>
      <w:bookmarkEnd w:id="2"/>
      <w:r w:rsidRPr="00FF2093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6A85282C" wp14:editId="116318FF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6F3B20" w:rsidRPr="00657A93" w:rsidRDefault="006F3B20" w:rsidP="006F3B20">
      <w:pPr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  <w:r w:rsidRPr="00657A93">
        <w:rPr>
          <w:rFonts w:ascii="Arial" w:hAnsi="Arial" w:cs="Arial"/>
          <w:b/>
          <w:color w:val="000000"/>
          <w:sz w:val="32"/>
          <w:szCs w:val="32"/>
          <w:lang w:val="en-US"/>
        </w:rPr>
        <w:t>PJSC “RUSSNEFT” PRESS SERVICE</w:t>
      </w:r>
    </w:p>
    <w:p w:rsidR="006F3B20" w:rsidRPr="00657A93" w:rsidRDefault="006F3B20" w:rsidP="006F3B20">
      <w:pPr>
        <w:jc w:val="center"/>
        <w:rPr>
          <w:rFonts w:ascii="Arial" w:hAnsi="Arial" w:cs="Arial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105"/>
      </w:tblGrid>
      <w:tr w:rsidR="006F3B20" w:rsidRPr="00657A93" w:rsidTr="00FE6396">
        <w:trPr>
          <w:trHeight w:val="13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FE6396">
            <w:pPr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6F3B20" w:rsidRPr="00657A93" w:rsidRDefault="006F3B20" w:rsidP="00FE6396">
            <w:pPr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6F3B20" w:rsidRPr="00657A93" w:rsidRDefault="006F3B20" w:rsidP="00FE6396">
            <w:pPr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6F3B20" w:rsidRPr="00657A93" w:rsidRDefault="00626DB7" w:rsidP="00FE6396">
            <w:pPr>
              <w:jc w:val="both"/>
              <w:rPr>
                <w:rFonts w:ascii="Arial" w:hAnsi="Arial" w:cs="Arial"/>
                <w:color w:val="000000"/>
                <w:sz w:val="28"/>
                <w:szCs w:val="32"/>
              </w:rPr>
            </w:pPr>
            <w:hyperlink r:id="rId5" w:history="1">
              <w:r w:rsidR="006F3B20" w:rsidRPr="00657A93">
                <w:rPr>
                  <w:rStyle w:val="a5"/>
                  <w:rFonts w:ascii="Arial" w:hAnsi="Arial" w:cs="Arial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FE6396">
            <w:pPr>
              <w:rPr>
                <w:rFonts w:ascii="Arial" w:hAnsi="Arial" w:cs="Arial"/>
                <w:b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115054, 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, </w:t>
            </w:r>
          </w:p>
          <w:p w:rsidR="006F3B20" w:rsidRPr="00657A93" w:rsidRDefault="006F3B20" w:rsidP="00FE6396">
            <w:pPr>
              <w:rPr>
                <w:rFonts w:ascii="Arial" w:hAnsi="Arial" w:cs="Arial"/>
                <w:color w:val="000000"/>
                <w:sz w:val="28"/>
                <w:szCs w:val="32"/>
              </w:rPr>
            </w:pP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>., 69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br/>
            </w: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  <w:p w:rsidR="006F3B20" w:rsidRPr="00657A93" w:rsidRDefault="006F3B20" w:rsidP="00FE6396">
            <w:pPr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6F3B20" w:rsidRPr="00657A93" w:rsidRDefault="006F3B20" w:rsidP="006F3B20">
      <w:pPr>
        <w:spacing w:before="100" w:after="10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6F3B20" w:rsidRPr="00A84AC1" w:rsidRDefault="006F3B20" w:rsidP="006F3B20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  <w:lang w:val="en-US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>PRESS - RELEASE</w:t>
      </w:r>
    </w:p>
    <w:p w:rsidR="00A71E6F" w:rsidRPr="00A71E6F" w:rsidRDefault="006F3B20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November 30</w:t>
      </w:r>
      <w:r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2021</w:t>
      </w:r>
      <w:r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</w:p>
    <w:p w:rsidR="00A71E6F" w:rsidRDefault="006F3B20" w:rsidP="00A71E6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bookmarkStart w:id="3" w:name="OLE_LINK1"/>
      <w:bookmarkStart w:id="4" w:name="OLE_LINK2"/>
      <w:proofErr w:type="spellStart"/>
      <w:r w:rsidRPr="006F3B2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RussNeft</w:t>
      </w:r>
      <w:proofErr w:type="spellEnd"/>
      <w:r w:rsidRPr="006F3B2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plans to increase production by 1.45% in 2022 to 6.78 million </w:t>
      </w:r>
      <w:proofErr w:type="spellStart"/>
      <w:r w:rsidRPr="006F3B2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tonnes</w:t>
      </w:r>
      <w:proofErr w:type="spellEnd"/>
      <w:r w:rsidRPr="006F3B2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of oil</w:t>
      </w:r>
    </w:p>
    <w:p w:rsidR="006F3B20" w:rsidRPr="00706DCF" w:rsidRDefault="006F3B20" w:rsidP="00A71E6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ru-RU"/>
        </w:rPr>
      </w:pPr>
    </w:p>
    <w:bookmarkEnd w:id="0"/>
    <w:bookmarkEnd w:id="1"/>
    <w:bookmarkEnd w:id="3"/>
    <w:bookmarkEnd w:id="4"/>
    <w:p w:rsidR="00706DCF" w:rsidRPr="00706DCF" w:rsidRDefault="00706DCF" w:rsidP="00A71E6F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RussNeft</w:t>
      </w:r>
      <w:proofErr w:type="spellEnd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plans to produce 6,780 thousand </w:t>
      </w:r>
      <w:proofErr w:type="spellStart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tonnes</w:t>
      </w:r>
      <w:proofErr w:type="spellEnd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of oil in 2022. This year, according to operational data, the production level will be 6,683 thousand </w:t>
      </w:r>
      <w:proofErr w:type="spellStart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tonnes</w:t>
      </w:r>
      <w:proofErr w:type="spellEnd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of oil, which complies with the terms of the OPEC+ agreement.</w:t>
      </w:r>
    </w:p>
    <w:p w:rsidR="00706DCF" w:rsidRPr="00706DCF" w:rsidRDefault="00706DCF" w:rsidP="008E17B4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The Company's business plan for 2022 envisages spending of 22.7 billion </w:t>
      </w:r>
      <w:proofErr w:type="spellStart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roubles</w:t>
      </w:r>
      <w:proofErr w:type="spellEnd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of capital investments, most of which will be spent on drilling. Next year, </w:t>
      </w:r>
      <w:proofErr w:type="spellStart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RussNeft</w:t>
      </w:r>
      <w:proofErr w:type="spellEnd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plans to build 100 new wells, which will provide additional oil production of 635,000 </w:t>
      </w:r>
      <w:proofErr w:type="spellStart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tonnes</w:t>
      </w:r>
      <w:proofErr w:type="spellEnd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706DCF" w:rsidRPr="00706DCF" w:rsidRDefault="00706DCF" w:rsidP="00706DCF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The EBITDA target for next year is set in the budget at 50.569 billion </w:t>
      </w:r>
      <w:proofErr w:type="spellStart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roubles</w:t>
      </w:r>
      <w:proofErr w:type="spellEnd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A71E6F" w:rsidRPr="00706DCF" w:rsidRDefault="00706DCF" w:rsidP="00706DCF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 xml:space="preserve">The Company's Board of Directors has approved </w:t>
      </w:r>
      <w:proofErr w:type="spellStart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RussNeft's</w:t>
      </w:r>
      <w:proofErr w:type="spellEnd"/>
      <w:r w:rsidRPr="00706DC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business plan for 2022.</w:t>
      </w:r>
    </w:p>
    <w:p w:rsidR="00706DCF" w:rsidRPr="00706DCF" w:rsidRDefault="00706DCF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6F3B20" w:rsidRPr="006F3B20" w:rsidRDefault="006F3B20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About the Company: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PJSC “</w:t>
      </w:r>
      <w:proofErr w:type="spellStart"/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” ranks among the top-10 largest oil companies by crude oil production in Russia.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headcount of the Company is around 8,000 employees.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Press Service of PJSC "</w:t>
      </w:r>
      <w:proofErr w:type="spellStart"/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"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Phone: (495) 411-63-24, Fax: (495) 411-63-19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E-mail: </w:t>
      </w:r>
      <w:hyperlink r:id="rId6" w:history="1">
        <w:r w:rsidRPr="006F3B20">
          <w:rPr>
            <w:rFonts w:ascii="Arial" w:eastAsia="Times New Roman" w:hAnsi="Arial" w:cs="Arial"/>
            <w:b/>
            <w:color w:val="000000"/>
            <w:sz w:val="24"/>
            <w:szCs w:val="28"/>
            <w:bdr w:val="none" w:sz="0" w:space="0" w:color="auto" w:frame="1"/>
            <w:lang w:val="en-US" w:eastAsia="ru-RU"/>
          </w:rPr>
          <w:t>pr@russneft.ru</w:t>
        </w:r>
      </w:hyperlink>
    </w:p>
    <w:p w:rsidR="00A71E6F" w:rsidRPr="006F3B20" w:rsidRDefault="00A71E6F" w:rsidP="00A71E6F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B35FEC" w:rsidRPr="006F3B20" w:rsidRDefault="00B35FEC">
      <w:pPr>
        <w:rPr>
          <w:lang w:val="en-US"/>
        </w:rPr>
      </w:pPr>
    </w:p>
    <w:sectPr w:rsidR="00B35FEC" w:rsidRPr="006F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6F"/>
    <w:rsid w:val="000B2925"/>
    <w:rsid w:val="00110881"/>
    <w:rsid w:val="003A45B3"/>
    <w:rsid w:val="004657AD"/>
    <w:rsid w:val="00626DB7"/>
    <w:rsid w:val="00633C4C"/>
    <w:rsid w:val="006F3B20"/>
    <w:rsid w:val="00706DCF"/>
    <w:rsid w:val="008E17B4"/>
    <w:rsid w:val="00A71E6F"/>
    <w:rsid w:val="00B35FEC"/>
    <w:rsid w:val="00BA33D9"/>
    <w:rsid w:val="00D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BB079-A71F-45A5-98B6-DC45A0B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B2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F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2021-11-30T14:02:00Z</cp:lastPrinted>
  <dcterms:created xsi:type="dcterms:W3CDTF">2021-11-30T14:28:00Z</dcterms:created>
  <dcterms:modified xsi:type="dcterms:W3CDTF">2021-11-30T14:28:00Z</dcterms:modified>
</cp:coreProperties>
</file>