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F9" w:rsidRDefault="002948F9" w:rsidP="000E40F4">
      <w:pPr>
        <w:jc w:val="center"/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  <w:r w:rsidRPr="0052504E">
        <w:rPr>
          <w:noProof/>
          <w:sz w:val="24"/>
          <w:lang w:eastAsia="ru-RU"/>
        </w:rPr>
        <w:drawing>
          <wp:inline distT="0" distB="0" distL="0" distR="0" wp14:anchorId="2979FFFE" wp14:editId="485E8E7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8F9" w:rsidRPr="004C6D82" w:rsidRDefault="002948F9" w:rsidP="000E40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48F9" w:rsidRPr="004C6D82" w:rsidRDefault="000C7CD2" w:rsidP="000E40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D57">
        <w:rPr>
          <w:rFonts w:ascii="Times New Roman" w:hAnsi="Times New Roman" w:cs="Times New Roman"/>
          <w:b/>
          <w:sz w:val="32"/>
          <w:szCs w:val="32"/>
        </w:rPr>
        <w:t>29</w:t>
      </w:r>
      <w:r w:rsidRPr="004C6D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729E" w:rsidRPr="004C6D82">
        <w:rPr>
          <w:rFonts w:ascii="Times New Roman" w:hAnsi="Times New Roman" w:cs="Times New Roman"/>
          <w:b/>
          <w:sz w:val="32"/>
          <w:szCs w:val="32"/>
        </w:rPr>
        <w:t>августа</w:t>
      </w:r>
      <w:r w:rsidR="00E0209C" w:rsidRPr="004C6D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48F9" w:rsidRPr="004C6D82">
        <w:rPr>
          <w:rFonts w:ascii="Times New Roman" w:hAnsi="Times New Roman" w:cs="Times New Roman"/>
          <w:b/>
          <w:sz w:val="32"/>
          <w:szCs w:val="32"/>
        </w:rPr>
        <w:t>201</w:t>
      </w:r>
      <w:r w:rsidR="007C0192" w:rsidRPr="004C6D82">
        <w:rPr>
          <w:rFonts w:ascii="Times New Roman" w:hAnsi="Times New Roman" w:cs="Times New Roman"/>
          <w:b/>
          <w:sz w:val="32"/>
          <w:szCs w:val="32"/>
        </w:rPr>
        <w:t>8</w:t>
      </w:r>
      <w:r w:rsidR="002948F9" w:rsidRPr="004C6D82">
        <w:rPr>
          <w:rFonts w:ascii="Times New Roman" w:hAnsi="Times New Roman" w:cs="Times New Roman"/>
          <w:b/>
          <w:sz w:val="32"/>
          <w:szCs w:val="32"/>
        </w:rPr>
        <w:t>г.</w:t>
      </w:r>
    </w:p>
    <w:p w:rsidR="00634114" w:rsidRPr="004C6D82" w:rsidRDefault="00634114" w:rsidP="000E40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260" w:rsidRPr="004C6D82" w:rsidRDefault="000E40F4" w:rsidP="00F072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D82">
        <w:rPr>
          <w:rFonts w:ascii="Times New Roman" w:hAnsi="Times New Roman" w:cs="Times New Roman"/>
          <w:b/>
          <w:sz w:val="32"/>
          <w:szCs w:val="32"/>
        </w:rPr>
        <w:t>ПАО НК «</w:t>
      </w:r>
      <w:proofErr w:type="spellStart"/>
      <w:r w:rsidRPr="004C6D82">
        <w:rPr>
          <w:rFonts w:ascii="Times New Roman" w:hAnsi="Times New Roman" w:cs="Times New Roman"/>
          <w:b/>
          <w:sz w:val="32"/>
          <w:szCs w:val="32"/>
        </w:rPr>
        <w:t>РуссНефть</w:t>
      </w:r>
      <w:proofErr w:type="spellEnd"/>
      <w:r w:rsidRPr="004C6D82">
        <w:rPr>
          <w:rFonts w:ascii="Times New Roman" w:hAnsi="Times New Roman" w:cs="Times New Roman"/>
          <w:b/>
          <w:sz w:val="32"/>
          <w:szCs w:val="32"/>
        </w:rPr>
        <w:t>» п</w:t>
      </w:r>
      <w:r w:rsidR="00F07260" w:rsidRPr="004C6D82">
        <w:rPr>
          <w:rFonts w:ascii="Times New Roman" w:hAnsi="Times New Roman" w:cs="Times New Roman"/>
          <w:b/>
          <w:sz w:val="32"/>
          <w:szCs w:val="32"/>
        </w:rPr>
        <w:t xml:space="preserve">убликует финансовые результаты по МСФО </w:t>
      </w:r>
      <w:r w:rsidR="007C0192" w:rsidRPr="004C6D82">
        <w:rPr>
          <w:rFonts w:ascii="Times New Roman" w:hAnsi="Times New Roman" w:cs="Times New Roman"/>
          <w:b/>
          <w:sz w:val="32"/>
          <w:szCs w:val="32"/>
        </w:rPr>
        <w:t>за</w:t>
      </w:r>
      <w:r w:rsidR="004C729E" w:rsidRPr="004C6D82">
        <w:rPr>
          <w:rFonts w:ascii="Times New Roman" w:hAnsi="Times New Roman" w:cs="Times New Roman"/>
          <w:b/>
          <w:sz w:val="32"/>
          <w:szCs w:val="32"/>
        </w:rPr>
        <w:t xml:space="preserve"> 6 месяцев</w:t>
      </w:r>
      <w:r w:rsidR="007C0192" w:rsidRPr="004C6D82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4C729E" w:rsidRPr="004C6D82">
        <w:rPr>
          <w:rFonts w:ascii="Times New Roman" w:hAnsi="Times New Roman" w:cs="Times New Roman"/>
          <w:b/>
          <w:sz w:val="32"/>
          <w:szCs w:val="32"/>
        </w:rPr>
        <w:t>8</w:t>
      </w:r>
      <w:r w:rsidR="00F07260" w:rsidRPr="004C6D82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634114" w:rsidRPr="004C6D82" w:rsidRDefault="00634114" w:rsidP="00F072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34E4" w:rsidRPr="004C6D82" w:rsidRDefault="00F07260" w:rsidP="0063411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>ПАО НК «</w:t>
      </w:r>
      <w:proofErr w:type="spellStart"/>
      <w:r w:rsidRPr="004C6D82">
        <w:rPr>
          <w:rFonts w:ascii="Times New Roman" w:hAnsi="Times New Roman" w:cs="Times New Roman"/>
          <w:sz w:val="32"/>
          <w:szCs w:val="32"/>
        </w:rPr>
        <w:t>РуссНефть</w:t>
      </w:r>
      <w:proofErr w:type="spellEnd"/>
      <w:r w:rsidRPr="004C6D82">
        <w:rPr>
          <w:rFonts w:ascii="Times New Roman" w:hAnsi="Times New Roman" w:cs="Times New Roman"/>
          <w:sz w:val="32"/>
          <w:szCs w:val="32"/>
        </w:rPr>
        <w:t>» (</w:t>
      </w:r>
      <w:r w:rsidR="00F50B67" w:rsidRPr="004C6D82">
        <w:rPr>
          <w:rFonts w:ascii="Times New Roman" w:hAnsi="Times New Roman" w:cs="Times New Roman"/>
          <w:sz w:val="32"/>
          <w:szCs w:val="32"/>
        </w:rPr>
        <w:t>далее – «</w:t>
      </w:r>
      <w:proofErr w:type="spellStart"/>
      <w:r w:rsidR="00F50B67" w:rsidRPr="004C6D82">
        <w:rPr>
          <w:rFonts w:ascii="Times New Roman" w:hAnsi="Times New Roman" w:cs="Times New Roman"/>
          <w:sz w:val="32"/>
          <w:szCs w:val="32"/>
        </w:rPr>
        <w:t>РуссН</w:t>
      </w:r>
      <w:r w:rsidR="00ED5D48" w:rsidRPr="004C6D82">
        <w:rPr>
          <w:rFonts w:ascii="Times New Roman" w:hAnsi="Times New Roman" w:cs="Times New Roman"/>
          <w:sz w:val="32"/>
          <w:szCs w:val="32"/>
        </w:rPr>
        <w:t>ефть</w:t>
      </w:r>
      <w:proofErr w:type="spellEnd"/>
      <w:r w:rsidR="00ED5D48" w:rsidRPr="004C6D82">
        <w:rPr>
          <w:rFonts w:ascii="Times New Roman" w:hAnsi="Times New Roman" w:cs="Times New Roman"/>
          <w:sz w:val="32"/>
          <w:szCs w:val="32"/>
        </w:rPr>
        <w:t xml:space="preserve">» или </w:t>
      </w:r>
      <w:r w:rsidRPr="004C6D82">
        <w:rPr>
          <w:rFonts w:ascii="Times New Roman" w:hAnsi="Times New Roman" w:cs="Times New Roman"/>
          <w:sz w:val="32"/>
          <w:szCs w:val="32"/>
        </w:rPr>
        <w:t>«Компания») (MOEX: RNFT)</w:t>
      </w:r>
      <w:r w:rsidR="00ED5D48" w:rsidRPr="004C6D82">
        <w:rPr>
          <w:rFonts w:ascii="Times New Roman" w:hAnsi="Times New Roman" w:cs="Times New Roman"/>
          <w:sz w:val="32"/>
          <w:szCs w:val="32"/>
        </w:rPr>
        <w:t xml:space="preserve">, одна из крупнейших нефтяных компаний по объемам добычи нефти в России, </w:t>
      </w:r>
      <w:r w:rsidRPr="004C6D82">
        <w:rPr>
          <w:rFonts w:ascii="Times New Roman" w:hAnsi="Times New Roman" w:cs="Times New Roman"/>
          <w:sz w:val="32"/>
          <w:szCs w:val="32"/>
        </w:rPr>
        <w:t xml:space="preserve">публикует </w:t>
      </w:r>
      <w:proofErr w:type="spellStart"/>
      <w:r w:rsidR="004C729E" w:rsidRPr="004C6D82">
        <w:rPr>
          <w:rFonts w:ascii="Times New Roman" w:hAnsi="Times New Roman" w:cs="Times New Roman"/>
          <w:sz w:val="32"/>
          <w:szCs w:val="32"/>
        </w:rPr>
        <w:t>не</w:t>
      </w:r>
      <w:r w:rsidRPr="004C6D82">
        <w:rPr>
          <w:rFonts w:ascii="Times New Roman" w:hAnsi="Times New Roman" w:cs="Times New Roman"/>
          <w:sz w:val="32"/>
          <w:szCs w:val="32"/>
        </w:rPr>
        <w:t>аудированную</w:t>
      </w:r>
      <w:proofErr w:type="spellEnd"/>
      <w:r w:rsidR="004C729E" w:rsidRPr="004C6D82">
        <w:rPr>
          <w:rFonts w:ascii="Times New Roman" w:hAnsi="Times New Roman" w:cs="Times New Roman"/>
          <w:sz w:val="32"/>
          <w:szCs w:val="32"/>
        </w:rPr>
        <w:t xml:space="preserve"> промежуточную</w:t>
      </w:r>
      <w:r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B2509E" w:rsidRPr="004C6D82">
        <w:rPr>
          <w:rFonts w:ascii="Times New Roman" w:hAnsi="Times New Roman" w:cs="Times New Roman"/>
          <w:sz w:val="32"/>
          <w:szCs w:val="32"/>
        </w:rPr>
        <w:t xml:space="preserve">сокращенную </w:t>
      </w:r>
      <w:r w:rsidRPr="004C6D82">
        <w:rPr>
          <w:rFonts w:ascii="Times New Roman" w:hAnsi="Times New Roman" w:cs="Times New Roman"/>
          <w:sz w:val="32"/>
          <w:szCs w:val="32"/>
        </w:rPr>
        <w:t>консолидированную финансовую отчетность за</w:t>
      </w:r>
      <w:r w:rsidR="004C729E" w:rsidRPr="004C6D82">
        <w:rPr>
          <w:rFonts w:ascii="Times New Roman" w:hAnsi="Times New Roman" w:cs="Times New Roman"/>
          <w:sz w:val="32"/>
          <w:szCs w:val="32"/>
        </w:rPr>
        <w:t xml:space="preserve"> 6 месяцев 2018</w:t>
      </w:r>
      <w:r w:rsidRPr="004C6D82">
        <w:rPr>
          <w:rFonts w:ascii="Times New Roman" w:hAnsi="Times New Roman" w:cs="Times New Roman"/>
          <w:sz w:val="32"/>
          <w:szCs w:val="32"/>
        </w:rPr>
        <w:t xml:space="preserve"> год</w:t>
      </w:r>
      <w:r w:rsidR="004C729E" w:rsidRPr="004C6D82">
        <w:rPr>
          <w:rFonts w:ascii="Times New Roman" w:hAnsi="Times New Roman" w:cs="Times New Roman"/>
          <w:sz w:val="32"/>
          <w:szCs w:val="32"/>
        </w:rPr>
        <w:t>а</w:t>
      </w:r>
      <w:r w:rsidRPr="004C6D82">
        <w:rPr>
          <w:rFonts w:ascii="Times New Roman" w:hAnsi="Times New Roman" w:cs="Times New Roman"/>
          <w:sz w:val="32"/>
          <w:szCs w:val="32"/>
        </w:rPr>
        <w:t>, закончивши</w:t>
      </w:r>
      <w:r w:rsidR="004C729E" w:rsidRPr="004C6D82">
        <w:rPr>
          <w:rFonts w:ascii="Times New Roman" w:hAnsi="Times New Roman" w:cs="Times New Roman"/>
          <w:sz w:val="32"/>
          <w:szCs w:val="32"/>
        </w:rPr>
        <w:t>х</w:t>
      </w:r>
      <w:r w:rsidRPr="004C6D82">
        <w:rPr>
          <w:rFonts w:ascii="Times New Roman" w:hAnsi="Times New Roman" w:cs="Times New Roman"/>
          <w:sz w:val="32"/>
          <w:szCs w:val="32"/>
        </w:rPr>
        <w:t>ся 3</w:t>
      </w:r>
      <w:r w:rsidR="004C729E" w:rsidRPr="004C6D82">
        <w:rPr>
          <w:rFonts w:ascii="Times New Roman" w:hAnsi="Times New Roman" w:cs="Times New Roman"/>
          <w:sz w:val="32"/>
          <w:szCs w:val="32"/>
        </w:rPr>
        <w:t>0</w:t>
      </w:r>
      <w:r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4C729E" w:rsidRPr="004C6D82">
        <w:rPr>
          <w:rFonts w:ascii="Times New Roman" w:hAnsi="Times New Roman" w:cs="Times New Roman"/>
          <w:sz w:val="32"/>
          <w:szCs w:val="32"/>
        </w:rPr>
        <w:t>июня</w:t>
      </w:r>
      <w:r w:rsidRPr="004C6D82">
        <w:rPr>
          <w:rFonts w:ascii="Times New Roman" w:hAnsi="Times New Roman" w:cs="Times New Roman"/>
          <w:sz w:val="32"/>
          <w:szCs w:val="32"/>
        </w:rPr>
        <w:t xml:space="preserve"> 201</w:t>
      </w:r>
      <w:r w:rsidR="004C729E" w:rsidRPr="004C6D82">
        <w:rPr>
          <w:rFonts w:ascii="Times New Roman" w:hAnsi="Times New Roman" w:cs="Times New Roman"/>
          <w:sz w:val="32"/>
          <w:szCs w:val="32"/>
        </w:rPr>
        <w:t>8</w:t>
      </w:r>
      <w:r w:rsidRPr="004C6D82">
        <w:rPr>
          <w:rFonts w:ascii="Times New Roman" w:hAnsi="Times New Roman" w:cs="Times New Roman"/>
          <w:sz w:val="32"/>
          <w:szCs w:val="32"/>
        </w:rPr>
        <w:t xml:space="preserve"> г., подготовленную в соответствии с Международными стандартами финансовой отчетности (МСФО).</w:t>
      </w:r>
    </w:p>
    <w:p w:rsidR="00634114" w:rsidRPr="004C6D82" w:rsidRDefault="00634114" w:rsidP="0063411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0209C" w:rsidRPr="004C6D82" w:rsidRDefault="00E0209C" w:rsidP="00634114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C6D82">
        <w:rPr>
          <w:rFonts w:ascii="Times New Roman" w:hAnsi="Times New Roman" w:cs="Times New Roman"/>
          <w:b/>
          <w:sz w:val="32"/>
          <w:szCs w:val="32"/>
        </w:rPr>
        <w:t>Ключевые события:</w:t>
      </w:r>
    </w:p>
    <w:p w:rsidR="00907AF5" w:rsidRPr="004C6D82" w:rsidRDefault="004C729E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>П</w:t>
      </w:r>
      <w:r w:rsidR="00D06BC7" w:rsidRPr="004C6D82">
        <w:rPr>
          <w:rFonts w:ascii="Times New Roman" w:hAnsi="Times New Roman" w:cs="Times New Roman"/>
          <w:sz w:val="32"/>
          <w:szCs w:val="32"/>
        </w:rPr>
        <w:t xml:space="preserve">оказатель </w:t>
      </w:r>
      <w:r w:rsidR="00D06BC7" w:rsidRPr="004C6D82">
        <w:rPr>
          <w:rFonts w:ascii="Times New Roman" w:hAnsi="Times New Roman" w:cs="Times New Roman"/>
          <w:sz w:val="32"/>
          <w:szCs w:val="32"/>
          <w:lang w:val="en-US"/>
        </w:rPr>
        <w:t>EBITDA</w:t>
      </w:r>
      <w:r w:rsidR="00D06BC7" w:rsidRPr="004C6D82">
        <w:rPr>
          <w:rFonts w:ascii="Times New Roman" w:hAnsi="Times New Roman" w:cs="Times New Roman"/>
          <w:sz w:val="32"/>
          <w:szCs w:val="32"/>
        </w:rPr>
        <w:t xml:space="preserve"> вырос </w:t>
      </w:r>
      <w:r w:rsidR="00C727B8" w:rsidRPr="004C6D82">
        <w:rPr>
          <w:rFonts w:ascii="Times New Roman" w:hAnsi="Times New Roman" w:cs="Times New Roman"/>
          <w:sz w:val="32"/>
          <w:szCs w:val="32"/>
        </w:rPr>
        <w:t xml:space="preserve">более чем в два раза </w:t>
      </w:r>
      <w:r w:rsidR="00D06BC7" w:rsidRPr="004C6D82">
        <w:rPr>
          <w:rFonts w:ascii="Times New Roman" w:hAnsi="Times New Roman" w:cs="Times New Roman"/>
          <w:sz w:val="32"/>
          <w:szCs w:val="32"/>
        </w:rPr>
        <w:t>и составил 2</w:t>
      </w:r>
      <w:r w:rsidRPr="004C6D82">
        <w:rPr>
          <w:rFonts w:ascii="Times New Roman" w:hAnsi="Times New Roman" w:cs="Times New Roman"/>
          <w:sz w:val="32"/>
          <w:szCs w:val="32"/>
        </w:rPr>
        <w:t>4</w:t>
      </w:r>
      <w:r w:rsidR="00D06BC7" w:rsidRPr="004C6D82">
        <w:rPr>
          <w:rFonts w:ascii="Times New Roman" w:hAnsi="Times New Roman" w:cs="Times New Roman"/>
          <w:sz w:val="32"/>
          <w:szCs w:val="32"/>
        </w:rPr>
        <w:t>,</w:t>
      </w:r>
      <w:r w:rsidRPr="004C6D82">
        <w:rPr>
          <w:rFonts w:ascii="Times New Roman" w:hAnsi="Times New Roman" w:cs="Times New Roman"/>
          <w:sz w:val="32"/>
          <w:szCs w:val="32"/>
        </w:rPr>
        <w:t>8</w:t>
      </w:r>
      <w:r w:rsidR="00D06BC7" w:rsidRPr="004C6D82">
        <w:rPr>
          <w:rFonts w:ascii="Times New Roman" w:hAnsi="Times New Roman" w:cs="Times New Roman"/>
          <w:sz w:val="32"/>
          <w:szCs w:val="32"/>
        </w:rPr>
        <w:t xml:space="preserve"> млрд руб.</w:t>
      </w:r>
    </w:p>
    <w:p w:rsidR="004C729E" w:rsidRPr="004C6D82" w:rsidRDefault="004C729E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 xml:space="preserve">Рентабельность </w:t>
      </w:r>
      <w:r w:rsidRPr="004C6D82">
        <w:rPr>
          <w:rFonts w:ascii="Times New Roman" w:hAnsi="Times New Roman" w:cs="Times New Roman"/>
          <w:sz w:val="32"/>
          <w:szCs w:val="32"/>
          <w:lang w:val="en-US"/>
        </w:rPr>
        <w:t xml:space="preserve">EBITDA </w:t>
      </w:r>
      <w:r w:rsidRPr="004C6D82">
        <w:rPr>
          <w:rFonts w:ascii="Times New Roman" w:hAnsi="Times New Roman" w:cs="Times New Roman"/>
          <w:sz w:val="32"/>
          <w:szCs w:val="32"/>
        </w:rPr>
        <w:t>составила 28%.</w:t>
      </w:r>
    </w:p>
    <w:p w:rsidR="00DB059E" w:rsidRPr="004C6D82" w:rsidRDefault="00DB059E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>Скорректированная прибыль</w:t>
      </w:r>
      <w:r w:rsidR="00412476" w:rsidRPr="004C6D82">
        <w:rPr>
          <w:rFonts w:ascii="Times New Roman" w:hAnsi="Times New Roman" w:cs="Times New Roman"/>
          <w:sz w:val="32"/>
          <w:szCs w:val="32"/>
        </w:rPr>
        <w:t xml:space="preserve"> за период</w:t>
      </w:r>
      <w:r w:rsidR="004465C6" w:rsidRPr="004C6D82">
        <w:rPr>
          <w:rStyle w:val="a7"/>
          <w:rFonts w:ascii="Times New Roman" w:hAnsi="Times New Roman" w:cs="Times New Roman"/>
          <w:sz w:val="32"/>
          <w:szCs w:val="32"/>
        </w:rPr>
        <w:footnoteReference w:id="1"/>
      </w:r>
      <w:r w:rsidRPr="004C6D82">
        <w:rPr>
          <w:rFonts w:ascii="Times New Roman" w:hAnsi="Times New Roman" w:cs="Times New Roman"/>
          <w:sz w:val="32"/>
          <w:szCs w:val="32"/>
        </w:rPr>
        <w:t xml:space="preserve"> составила </w:t>
      </w:r>
      <w:r w:rsidR="004C729E" w:rsidRPr="004C6D82">
        <w:rPr>
          <w:rFonts w:ascii="Times New Roman" w:hAnsi="Times New Roman" w:cs="Times New Roman"/>
          <w:sz w:val="32"/>
          <w:szCs w:val="32"/>
        </w:rPr>
        <w:t>9</w:t>
      </w:r>
      <w:r w:rsidR="00113572" w:rsidRPr="004C6D82">
        <w:rPr>
          <w:rFonts w:ascii="Times New Roman" w:hAnsi="Times New Roman" w:cs="Times New Roman"/>
          <w:sz w:val="32"/>
          <w:szCs w:val="32"/>
        </w:rPr>
        <w:t>,</w:t>
      </w:r>
      <w:r w:rsidR="004C729E" w:rsidRPr="004C6D82">
        <w:rPr>
          <w:rFonts w:ascii="Times New Roman" w:hAnsi="Times New Roman" w:cs="Times New Roman"/>
          <w:sz w:val="32"/>
          <w:szCs w:val="32"/>
        </w:rPr>
        <w:t>8</w:t>
      </w:r>
      <w:r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344929" w:rsidRPr="004C6D82">
        <w:rPr>
          <w:rFonts w:ascii="Times New Roman" w:hAnsi="Times New Roman" w:cs="Times New Roman"/>
          <w:sz w:val="32"/>
          <w:szCs w:val="32"/>
        </w:rPr>
        <w:t xml:space="preserve">млрд </w:t>
      </w:r>
      <w:r w:rsidRPr="004C6D82">
        <w:rPr>
          <w:rFonts w:ascii="Times New Roman" w:hAnsi="Times New Roman" w:cs="Times New Roman"/>
          <w:sz w:val="32"/>
          <w:szCs w:val="32"/>
        </w:rPr>
        <w:t>руб</w:t>
      </w:r>
      <w:r w:rsidR="00113572" w:rsidRPr="004C6D82">
        <w:rPr>
          <w:rFonts w:ascii="Times New Roman" w:hAnsi="Times New Roman" w:cs="Times New Roman"/>
          <w:sz w:val="32"/>
          <w:szCs w:val="32"/>
        </w:rPr>
        <w:t>.</w:t>
      </w:r>
      <w:r w:rsidRPr="004C6D82">
        <w:rPr>
          <w:rFonts w:ascii="Times New Roman" w:hAnsi="Times New Roman" w:cs="Times New Roman"/>
          <w:sz w:val="32"/>
          <w:szCs w:val="32"/>
        </w:rPr>
        <w:t>, рост</w:t>
      </w:r>
      <w:r w:rsidR="00C727B8" w:rsidRPr="004C6D82">
        <w:rPr>
          <w:rFonts w:ascii="Times New Roman" w:hAnsi="Times New Roman" w:cs="Times New Roman"/>
          <w:sz w:val="32"/>
          <w:szCs w:val="32"/>
        </w:rPr>
        <w:t xml:space="preserve"> в 3,8 раза</w:t>
      </w:r>
      <w:r w:rsidRPr="004C6D82">
        <w:rPr>
          <w:rFonts w:ascii="Times New Roman" w:hAnsi="Times New Roman" w:cs="Times New Roman"/>
          <w:sz w:val="32"/>
          <w:szCs w:val="32"/>
        </w:rPr>
        <w:t>.</w:t>
      </w:r>
    </w:p>
    <w:p w:rsidR="00D06BC7" w:rsidRPr="004C6D82" w:rsidRDefault="00D06BC7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lastRenderedPageBreak/>
        <w:t xml:space="preserve">Добыча нефти составила </w:t>
      </w:r>
      <w:r w:rsidR="004C729E" w:rsidRPr="004C6D82">
        <w:rPr>
          <w:rFonts w:ascii="Times New Roman" w:hAnsi="Times New Roman" w:cs="Times New Roman"/>
          <w:sz w:val="32"/>
          <w:szCs w:val="32"/>
        </w:rPr>
        <w:t>3</w:t>
      </w:r>
      <w:r w:rsidRPr="004C6D82">
        <w:rPr>
          <w:rFonts w:ascii="Times New Roman" w:hAnsi="Times New Roman" w:cs="Times New Roman"/>
          <w:sz w:val="32"/>
          <w:szCs w:val="32"/>
        </w:rPr>
        <w:t>,</w:t>
      </w:r>
      <w:r w:rsidR="004C729E" w:rsidRPr="004C6D82">
        <w:rPr>
          <w:rFonts w:ascii="Times New Roman" w:hAnsi="Times New Roman" w:cs="Times New Roman"/>
          <w:sz w:val="32"/>
          <w:szCs w:val="32"/>
        </w:rPr>
        <w:t>7</w:t>
      </w:r>
      <w:r w:rsidR="00634114" w:rsidRPr="004C6D82">
        <w:rPr>
          <w:rStyle w:val="a7"/>
          <w:rFonts w:ascii="Times New Roman" w:hAnsi="Times New Roman" w:cs="Times New Roman"/>
          <w:sz w:val="32"/>
          <w:szCs w:val="32"/>
        </w:rPr>
        <w:footnoteReference w:id="2"/>
      </w:r>
      <w:r w:rsidRPr="004C6D82">
        <w:rPr>
          <w:rFonts w:ascii="Times New Roman" w:hAnsi="Times New Roman" w:cs="Times New Roman"/>
          <w:sz w:val="32"/>
          <w:szCs w:val="32"/>
        </w:rPr>
        <w:t xml:space="preserve"> млн тонн.</w:t>
      </w:r>
    </w:p>
    <w:p w:rsidR="006439DA" w:rsidRPr="004C6D82" w:rsidRDefault="006439DA" w:rsidP="00184054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>П</w:t>
      </w:r>
      <w:r w:rsidR="004C729E" w:rsidRPr="004C6D82">
        <w:rPr>
          <w:rFonts w:ascii="Times New Roman" w:hAnsi="Times New Roman" w:cs="Times New Roman"/>
          <w:sz w:val="32"/>
          <w:szCs w:val="32"/>
        </w:rPr>
        <w:t>оддержание высокого объема</w:t>
      </w:r>
      <w:r w:rsidRPr="004C6D82">
        <w:rPr>
          <w:rFonts w:ascii="Times New Roman" w:hAnsi="Times New Roman" w:cs="Times New Roman"/>
          <w:sz w:val="32"/>
          <w:szCs w:val="32"/>
        </w:rPr>
        <w:t xml:space="preserve"> капитальных вложений, сумма инвестиций </w:t>
      </w:r>
      <w:r w:rsidR="004C729E" w:rsidRPr="004C6D82">
        <w:rPr>
          <w:rFonts w:ascii="Times New Roman" w:hAnsi="Times New Roman" w:cs="Times New Roman"/>
          <w:sz w:val="32"/>
          <w:szCs w:val="32"/>
        </w:rPr>
        <w:t>за</w:t>
      </w:r>
      <w:r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4C729E" w:rsidRPr="004C6D82">
        <w:rPr>
          <w:rFonts w:ascii="Times New Roman" w:hAnsi="Times New Roman" w:cs="Times New Roman"/>
          <w:sz w:val="32"/>
          <w:szCs w:val="32"/>
        </w:rPr>
        <w:t>1П</w:t>
      </w:r>
      <w:r w:rsidRPr="004C6D82">
        <w:rPr>
          <w:rFonts w:ascii="Times New Roman" w:hAnsi="Times New Roman" w:cs="Times New Roman"/>
          <w:sz w:val="32"/>
          <w:szCs w:val="32"/>
        </w:rPr>
        <w:t>201</w:t>
      </w:r>
      <w:r w:rsidR="004C729E" w:rsidRPr="004C6D82">
        <w:rPr>
          <w:rFonts w:ascii="Times New Roman" w:hAnsi="Times New Roman" w:cs="Times New Roman"/>
          <w:sz w:val="32"/>
          <w:szCs w:val="32"/>
        </w:rPr>
        <w:t>8</w:t>
      </w:r>
      <w:r w:rsidRPr="004C6D82">
        <w:rPr>
          <w:rFonts w:ascii="Times New Roman" w:hAnsi="Times New Roman" w:cs="Times New Roman"/>
          <w:sz w:val="32"/>
          <w:szCs w:val="32"/>
        </w:rPr>
        <w:t xml:space="preserve"> год</w:t>
      </w:r>
      <w:r w:rsidR="004C729E" w:rsidRPr="004C6D82">
        <w:rPr>
          <w:rFonts w:ascii="Times New Roman" w:hAnsi="Times New Roman" w:cs="Times New Roman"/>
          <w:sz w:val="32"/>
          <w:szCs w:val="32"/>
        </w:rPr>
        <w:t>а</w:t>
      </w:r>
      <w:r w:rsidRPr="004C6D82">
        <w:rPr>
          <w:rFonts w:ascii="Times New Roman" w:hAnsi="Times New Roman" w:cs="Times New Roman"/>
          <w:sz w:val="32"/>
          <w:szCs w:val="32"/>
        </w:rPr>
        <w:t xml:space="preserve"> – </w:t>
      </w:r>
      <w:r w:rsidR="004C729E" w:rsidRPr="004C6D82">
        <w:rPr>
          <w:rFonts w:ascii="Times New Roman" w:hAnsi="Times New Roman" w:cs="Times New Roman"/>
          <w:sz w:val="32"/>
          <w:szCs w:val="32"/>
        </w:rPr>
        <w:t>14</w:t>
      </w:r>
      <w:r w:rsidRPr="004C6D82">
        <w:rPr>
          <w:rFonts w:ascii="Times New Roman" w:hAnsi="Times New Roman" w:cs="Times New Roman"/>
          <w:sz w:val="32"/>
          <w:szCs w:val="32"/>
        </w:rPr>
        <w:t>,</w:t>
      </w:r>
      <w:r w:rsidR="000C7CD2" w:rsidRPr="004C6D82">
        <w:rPr>
          <w:rFonts w:ascii="Times New Roman" w:hAnsi="Times New Roman" w:cs="Times New Roman"/>
          <w:sz w:val="32"/>
          <w:szCs w:val="32"/>
        </w:rPr>
        <w:t>4</w:t>
      </w:r>
      <w:r w:rsidRPr="004C6D82">
        <w:rPr>
          <w:rFonts w:ascii="Times New Roman" w:hAnsi="Times New Roman" w:cs="Times New Roman"/>
          <w:sz w:val="32"/>
          <w:szCs w:val="32"/>
        </w:rPr>
        <w:t xml:space="preserve"> млрд руб.</w:t>
      </w:r>
    </w:p>
    <w:p w:rsidR="00DB58B8" w:rsidRPr="004C6D82" w:rsidRDefault="00675FF3" w:rsidP="0018405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C6D82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DB58B8" w:rsidRPr="004C6D82">
        <w:rPr>
          <w:rFonts w:ascii="Times New Roman" w:hAnsi="Times New Roman" w:cs="Times New Roman"/>
          <w:color w:val="000000"/>
          <w:sz w:val="32"/>
          <w:szCs w:val="32"/>
        </w:rPr>
        <w:t>тношение чистого долга к EBITDA</w:t>
      </w:r>
      <w:r w:rsidR="00345C36" w:rsidRPr="004C6D82">
        <w:rPr>
          <w:rStyle w:val="a7"/>
          <w:rFonts w:ascii="Times New Roman" w:hAnsi="Times New Roman" w:cs="Times New Roman"/>
          <w:color w:val="000000"/>
          <w:sz w:val="32"/>
          <w:szCs w:val="32"/>
        </w:rPr>
        <w:footnoteReference w:id="3"/>
      </w:r>
      <w:r w:rsidR="00DB58B8" w:rsidRPr="004C6D82">
        <w:rPr>
          <w:rFonts w:ascii="Times New Roman" w:hAnsi="Times New Roman" w:cs="Times New Roman"/>
          <w:color w:val="000000"/>
          <w:sz w:val="32"/>
          <w:szCs w:val="32"/>
        </w:rPr>
        <w:t xml:space="preserve"> на уровне </w:t>
      </w:r>
      <w:r w:rsidR="009301DC" w:rsidRPr="004C6D82"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</w:p>
    <w:p w:rsidR="00DB58B8" w:rsidRPr="004C6D82" w:rsidRDefault="00DB58B8" w:rsidP="00DB58B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06BC7" w:rsidRPr="004C6D82" w:rsidRDefault="00D06BC7" w:rsidP="00D06BC7">
      <w:pPr>
        <w:pStyle w:val="a8"/>
        <w:jc w:val="both"/>
        <w:rPr>
          <w:rFonts w:ascii="Times New Roman" w:hAnsi="Times New Roman" w:cs="Times New Roman"/>
          <w:sz w:val="32"/>
          <w:szCs w:val="32"/>
        </w:rPr>
      </w:pPr>
    </w:p>
    <w:p w:rsidR="000E40F4" w:rsidRPr="004C6D82" w:rsidRDefault="00271BFD" w:rsidP="00271BF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D82">
        <w:rPr>
          <w:rFonts w:ascii="Times New Roman" w:hAnsi="Times New Roman" w:cs="Times New Roman"/>
          <w:b/>
          <w:sz w:val="32"/>
          <w:szCs w:val="32"/>
        </w:rPr>
        <w:t xml:space="preserve">Ключевые </w:t>
      </w:r>
      <w:r w:rsidR="003821CC" w:rsidRPr="004C6D82">
        <w:rPr>
          <w:rFonts w:ascii="Times New Roman" w:hAnsi="Times New Roman" w:cs="Times New Roman"/>
          <w:b/>
          <w:sz w:val="32"/>
          <w:szCs w:val="32"/>
        </w:rPr>
        <w:t>результаты деятельности</w:t>
      </w:r>
    </w:p>
    <w:p w:rsidR="00271BFD" w:rsidRPr="004C6D82" w:rsidRDefault="00271BFD" w:rsidP="00271BF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34114" w:rsidRPr="004C6D82" w:rsidRDefault="00887FA6" w:rsidP="00887FA6">
      <w:pPr>
        <w:tabs>
          <w:tab w:val="left" w:pos="8627"/>
        </w:tabs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C6D82">
        <w:rPr>
          <w:rFonts w:ascii="Times New Roman" w:hAnsi="Times New Roman" w:cs="Times New Roman"/>
          <w:b/>
          <w:sz w:val="32"/>
          <w:szCs w:val="32"/>
        </w:rPr>
        <w:t xml:space="preserve">Финансовые </w:t>
      </w:r>
      <w:r w:rsidR="004C6C80" w:rsidRPr="004C6D82">
        <w:rPr>
          <w:rFonts w:ascii="Times New Roman" w:hAnsi="Times New Roman" w:cs="Times New Roman"/>
          <w:b/>
          <w:sz w:val="32"/>
          <w:szCs w:val="32"/>
        </w:rPr>
        <w:t>показатели</w:t>
      </w:r>
      <w:r w:rsidRPr="004C6D82"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34"/>
        <w:gridCol w:w="1265"/>
        <w:gridCol w:w="1265"/>
        <w:gridCol w:w="1791"/>
      </w:tblGrid>
      <w:tr w:rsidR="004C729E" w:rsidRPr="004C6D82" w:rsidTr="00E36DEB">
        <w:trPr>
          <w:trHeight w:val="330"/>
        </w:trPr>
        <w:tc>
          <w:tcPr>
            <w:tcW w:w="27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634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млрд руб.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1П2018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1П2017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DB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Изменение </w:t>
            </w:r>
          </w:p>
        </w:tc>
      </w:tr>
      <w:tr w:rsidR="004C729E" w:rsidRPr="004C6D82" w:rsidTr="00E36DEB">
        <w:trPr>
          <w:trHeight w:val="33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63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Выручка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88,4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57,7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DB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53%</w:t>
            </w:r>
          </w:p>
        </w:tc>
      </w:tr>
      <w:tr w:rsidR="004C729E" w:rsidRPr="004C6D82" w:rsidTr="00E36DEB">
        <w:trPr>
          <w:trHeight w:val="315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63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32"/>
                <w:szCs w:val="32"/>
                <w:u w:val="single"/>
                <w:vertAlign w:val="superscript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EBITDA</w:t>
            </w:r>
            <w:r w:rsidRPr="004C6D82">
              <w:rPr>
                <w:rStyle w:val="a7"/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footnoteReference w:id="4"/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24,8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63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12,2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103%</w:t>
            </w:r>
          </w:p>
        </w:tc>
      </w:tr>
      <w:tr w:rsidR="004C729E" w:rsidRPr="004C6D82" w:rsidTr="00E36DEB">
        <w:trPr>
          <w:trHeight w:val="36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63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OIBDA</w:t>
            </w:r>
            <w:r w:rsidRPr="004C6D82">
              <w:rPr>
                <w:rStyle w:val="a7"/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footnoteReference w:id="5"/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25,9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12,7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DB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104%</w:t>
            </w:r>
          </w:p>
        </w:tc>
      </w:tr>
      <w:tr w:rsidR="004C729E" w:rsidRPr="004C6D82" w:rsidTr="00E36DEB">
        <w:trPr>
          <w:trHeight w:val="315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9B4E42" w:rsidP="00446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r w:rsidR="004C729E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рибыль</w:t>
            </w: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приходящаяся на акционеров </w:t>
            </w:r>
            <w:r w:rsidR="00990289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proofErr w:type="spellStart"/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РуссНефть</w:t>
            </w:r>
            <w:proofErr w:type="spellEnd"/>
            <w:r w:rsidR="00990289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9B4E42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1,8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9B4E42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3,2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9C5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</w:t>
            </w:r>
            <w:r w:rsidR="00362AC1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="009C5F68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%)</w:t>
            </w:r>
          </w:p>
        </w:tc>
      </w:tr>
      <w:tr w:rsidR="004C729E" w:rsidRPr="004C6D82" w:rsidTr="00E36DEB">
        <w:trPr>
          <w:trHeight w:val="36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EB7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C</w:t>
            </w: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корректированная прибыль</w:t>
            </w:r>
            <w:r w:rsidRPr="004C6D82">
              <w:rPr>
                <w:rStyle w:val="a7"/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footnoteReference w:id="6"/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4C7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9,8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A35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2,6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800360" w:rsidP="00DB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285</w:t>
            </w:r>
            <w:r w:rsidR="004C729E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4C729E" w:rsidRPr="004C6D82" w:rsidTr="00E36DEB">
        <w:trPr>
          <w:trHeight w:val="315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4C729E" w:rsidP="0063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Чистый долг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F02D0B" w:rsidP="001F1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83,8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F02D0B" w:rsidP="001F1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79,5</w:t>
            </w:r>
            <w:r w:rsidRPr="004C6D82">
              <w:rPr>
                <w:rStyle w:val="a7"/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footnoteReference w:id="7"/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9E" w:rsidRPr="004C6D82" w:rsidRDefault="00F02D0B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4C729E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7A7C7C" w:rsidRPr="004C6D82" w:rsidTr="00E36DEB">
        <w:trPr>
          <w:trHeight w:val="70"/>
        </w:trPr>
        <w:tc>
          <w:tcPr>
            <w:tcW w:w="27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7C7C" w:rsidRPr="004C6D82" w:rsidRDefault="007A7C7C" w:rsidP="0063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7C7C" w:rsidRPr="004C6D82" w:rsidRDefault="007A7C7C" w:rsidP="00D26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7C7C" w:rsidRPr="004C6D82" w:rsidRDefault="007A7C7C" w:rsidP="0063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A7C7C" w:rsidRPr="004C6D82" w:rsidRDefault="007A7C7C" w:rsidP="0063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34114" w:rsidRPr="004C6D82" w:rsidRDefault="00634114" w:rsidP="006520E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015F6" w:rsidRPr="004C6D82" w:rsidRDefault="002672BE" w:rsidP="006520E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>В</w:t>
      </w:r>
      <w:r w:rsidR="00684480" w:rsidRPr="004C6D82">
        <w:rPr>
          <w:rFonts w:ascii="Times New Roman" w:hAnsi="Times New Roman" w:cs="Times New Roman"/>
          <w:sz w:val="32"/>
          <w:szCs w:val="32"/>
        </w:rPr>
        <w:t xml:space="preserve"> первом полугодии</w:t>
      </w:r>
      <w:r w:rsidRPr="004C6D82">
        <w:rPr>
          <w:rFonts w:ascii="Times New Roman" w:hAnsi="Times New Roman" w:cs="Times New Roman"/>
          <w:sz w:val="32"/>
          <w:szCs w:val="32"/>
        </w:rPr>
        <w:t xml:space="preserve"> 201</w:t>
      </w:r>
      <w:r w:rsidR="00684480" w:rsidRPr="004C6D82">
        <w:rPr>
          <w:rFonts w:ascii="Times New Roman" w:hAnsi="Times New Roman" w:cs="Times New Roman"/>
          <w:sz w:val="32"/>
          <w:szCs w:val="32"/>
        </w:rPr>
        <w:t>8</w:t>
      </w:r>
      <w:r w:rsidRPr="004C6D82">
        <w:rPr>
          <w:rFonts w:ascii="Times New Roman" w:hAnsi="Times New Roman" w:cs="Times New Roman"/>
          <w:sz w:val="32"/>
          <w:szCs w:val="32"/>
        </w:rPr>
        <w:t xml:space="preserve"> год</w:t>
      </w:r>
      <w:r w:rsidR="00684480" w:rsidRPr="004C6D82">
        <w:rPr>
          <w:rFonts w:ascii="Times New Roman" w:hAnsi="Times New Roman" w:cs="Times New Roman"/>
          <w:sz w:val="32"/>
          <w:szCs w:val="32"/>
        </w:rPr>
        <w:t>а</w:t>
      </w:r>
      <w:r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DB58B8" w:rsidRPr="004C6D82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DB58B8" w:rsidRPr="004C6D82">
        <w:rPr>
          <w:rFonts w:ascii="Times New Roman" w:hAnsi="Times New Roman" w:cs="Times New Roman"/>
          <w:sz w:val="32"/>
          <w:szCs w:val="32"/>
        </w:rPr>
        <w:t>РуссНефть</w:t>
      </w:r>
      <w:proofErr w:type="spellEnd"/>
      <w:r w:rsidR="00DB58B8" w:rsidRPr="004C6D82">
        <w:rPr>
          <w:rFonts w:ascii="Times New Roman" w:hAnsi="Times New Roman" w:cs="Times New Roman"/>
          <w:sz w:val="32"/>
          <w:szCs w:val="32"/>
        </w:rPr>
        <w:t xml:space="preserve">» продемонстрировала существенный рост финансовых показателей при стабильной </w:t>
      </w:r>
      <w:r w:rsidR="00684480" w:rsidRPr="004C6D82">
        <w:rPr>
          <w:rFonts w:ascii="Times New Roman" w:hAnsi="Times New Roman" w:cs="Times New Roman"/>
          <w:sz w:val="32"/>
          <w:szCs w:val="32"/>
        </w:rPr>
        <w:t>добыче. Выручка увеличилась на 5</w:t>
      </w:r>
      <w:r w:rsidR="00DB58B8" w:rsidRPr="004C6D82">
        <w:rPr>
          <w:rFonts w:ascii="Times New Roman" w:hAnsi="Times New Roman" w:cs="Times New Roman"/>
          <w:sz w:val="32"/>
          <w:szCs w:val="32"/>
        </w:rPr>
        <w:t xml:space="preserve">3% и составила </w:t>
      </w:r>
      <w:r w:rsidR="00684480" w:rsidRPr="004C6D82">
        <w:rPr>
          <w:rFonts w:ascii="Times New Roman" w:hAnsi="Times New Roman" w:cs="Times New Roman"/>
          <w:sz w:val="32"/>
          <w:szCs w:val="32"/>
        </w:rPr>
        <w:t>88</w:t>
      </w:r>
      <w:r w:rsidR="00151C6A" w:rsidRPr="004C6D82">
        <w:rPr>
          <w:rFonts w:ascii="Times New Roman" w:hAnsi="Times New Roman" w:cs="Times New Roman"/>
          <w:sz w:val="32"/>
          <w:szCs w:val="32"/>
        </w:rPr>
        <w:t>,</w:t>
      </w:r>
      <w:r w:rsidR="00684480" w:rsidRPr="004C6D82">
        <w:rPr>
          <w:rFonts w:ascii="Times New Roman" w:hAnsi="Times New Roman" w:cs="Times New Roman"/>
          <w:sz w:val="32"/>
          <w:szCs w:val="32"/>
        </w:rPr>
        <w:t>4</w:t>
      </w:r>
      <w:r w:rsidR="00DB58B8" w:rsidRPr="004C6D82">
        <w:rPr>
          <w:rFonts w:ascii="Times New Roman" w:hAnsi="Times New Roman" w:cs="Times New Roman"/>
          <w:sz w:val="32"/>
          <w:szCs w:val="32"/>
        </w:rPr>
        <w:t xml:space="preserve"> млрд руб. </w:t>
      </w:r>
      <w:proofErr w:type="gramStart"/>
      <w:r w:rsidR="00DB58B8" w:rsidRPr="004C6D82">
        <w:rPr>
          <w:rFonts w:ascii="Times New Roman" w:hAnsi="Times New Roman" w:cs="Times New Roman"/>
          <w:sz w:val="32"/>
          <w:szCs w:val="32"/>
        </w:rPr>
        <w:lastRenderedPageBreak/>
        <w:t>Показатель  EBITDA</w:t>
      </w:r>
      <w:proofErr w:type="gramEnd"/>
      <w:r w:rsidR="00DB58B8" w:rsidRPr="004C6D82">
        <w:rPr>
          <w:rFonts w:ascii="Times New Roman" w:hAnsi="Times New Roman" w:cs="Times New Roman"/>
          <w:sz w:val="32"/>
          <w:szCs w:val="32"/>
        </w:rPr>
        <w:t xml:space="preserve"> составил 2</w:t>
      </w:r>
      <w:r w:rsidR="00684480" w:rsidRPr="004C6D82">
        <w:rPr>
          <w:rFonts w:ascii="Times New Roman" w:hAnsi="Times New Roman" w:cs="Times New Roman"/>
          <w:sz w:val="32"/>
          <w:szCs w:val="32"/>
        </w:rPr>
        <w:t>4</w:t>
      </w:r>
      <w:r w:rsidR="00DB58B8" w:rsidRPr="004C6D82">
        <w:rPr>
          <w:rFonts w:ascii="Times New Roman" w:hAnsi="Times New Roman" w:cs="Times New Roman"/>
          <w:sz w:val="32"/>
          <w:szCs w:val="32"/>
        </w:rPr>
        <w:t>,</w:t>
      </w:r>
      <w:r w:rsidR="00684480" w:rsidRPr="004C6D82">
        <w:rPr>
          <w:rFonts w:ascii="Times New Roman" w:hAnsi="Times New Roman" w:cs="Times New Roman"/>
          <w:sz w:val="32"/>
          <w:szCs w:val="32"/>
        </w:rPr>
        <w:t>8</w:t>
      </w:r>
      <w:r w:rsidR="00DB58B8" w:rsidRPr="004C6D82">
        <w:rPr>
          <w:rFonts w:ascii="Times New Roman" w:hAnsi="Times New Roman" w:cs="Times New Roman"/>
          <w:sz w:val="32"/>
          <w:szCs w:val="32"/>
        </w:rPr>
        <w:t xml:space="preserve"> млрд руб</w:t>
      </w:r>
      <w:r w:rsidR="00C938DA" w:rsidRPr="004C6D82">
        <w:rPr>
          <w:rFonts w:ascii="Times New Roman" w:hAnsi="Times New Roman" w:cs="Times New Roman"/>
          <w:sz w:val="32"/>
          <w:szCs w:val="32"/>
        </w:rPr>
        <w:t>.</w:t>
      </w:r>
      <w:r w:rsidR="00DB58B8" w:rsidRPr="004C6D82">
        <w:rPr>
          <w:rFonts w:ascii="Times New Roman" w:hAnsi="Times New Roman" w:cs="Times New Roman"/>
          <w:sz w:val="32"/>
          <w:szCs w:val="32"/>
        </w:rPr>
        <w:t>, что на 1</w:t>
      </w:r>
      <w:r w:rsidR="00684480" w:rsidRPr="004C6D82">
        <w:rPr>
          <w:rFonts w:ascii="Times New Roman" w:hAnsi="Times New Roman" w:cs="Times New Roman"/>
          <w:sz w:val="32"/>
          <w:szCs w:val="32"/>
        </w:rPr>
        <w:t>03</w:t>
      </w:r>
      <w:r w:rsidR="00DB58B8" w:rsidRPr="004C6D82">
        <w:rPr>
          <w:rFonts w:ascii="Times New Roman" w:hAnsi="Times New Roman" w:cs="Times New Roman"/>
          <w:sz w:val="32"/>
          <w:szCs w:val="32"/>
        </w:rPr>
        <w:t xml:space="preserve">% выше чем </w:t>
      </w:r>
      <w:r w:rsidR="00684480" w:rsidRPr="004C6D82">
        <w:rPr>
          <w:rFonts w:ascii="Times New Roman" w:hAnsi="Times New Roman" w:cs="Times New Roman"/>
          <w:sz w:val="32"/>
          <w:szCs w:val="32"/>
        </w:rPr>
        <w:t>в аналогичном периоде годом ранее</w:t>
      </w:r>
      <w:r w:rsidR="00DB58B8" w:rsidRPr="004C6D82">
        <w:rPr>
          <w:rFonts w:ascii="Times New Roman" w:hAnsi="Times New Roman" w:cs="Times New Roman"/>
          <w:sz w:val="32"/>
          <w:szCs w:val="32"/>
        </w:rPr>
        <w:t xml:space="preserve">. </w:t>
      </w:r>
      <w:r w:rsidRPr="004C6D82">
        <w:rPr>
          <w:rFonts w:ascii="Times New Roman" w:hAnsi="Times New Roman" w:cs="Times New Roman"/>
          <w:sz w:val="32"/>
          <w:szCs w:val="32"/>
        </w:rPr>
        <w:t xml:space="preserve">Основной причиной </w:t>
      </w:r>
      <w:r w:rsidR="00DB059E" w:rsidRPr="004C6D82">
        <w:rPr>
          <w:rFonts w:ascii="Times New Roman" w:hAnsi="Times New Roman" w:cs="Times New Roman"/>
          <w:sz w:val="32"/>
          <w:szCs w:val="32"/>
        </w:rPr>
        <w:t xml:space="preserve">увеличения </w:t>
      </w:r>
      <w:r w:rsidR="00684480" w:rsidRPr="004C6D82">
        <w:rPr>
          <w:rFonts w:ascii="Times New Roman" w:hAnsi="Times New Roman" w:cs="Times New Roman"/>
          <w:sz w:val="32"/>
          <w:szCs w:val="32"/>
        </w:rPr>
        <w:t xml:space="preserve">финансовых показателей </w:t>
      </w:r>
      <w:r w:rsidRPr="004C6D82">
        <w:rPr>
          <w:rFonts w:ascii="Times New Roman" w:hAnsi="Times New Roman" w:cs="Times New Roman"/>
          <w:sz w:val="32"/>
          <w:szCs w:val="32"/>
        </w:rPr>
        <w:t>послужил рост цен на нефть</w:t>
      </w:r>
      <w:r w:rsidR="009015F6" w:rsidRPr="004C6D82">
        <w:rPr>
          <w:rFonts w:ascii="Times New Roman" w:hAnsi="Times New Roman" w:cs="Times New Roman"/>
          <w:sz w:val="32"/>
          <w:szCs w:val="32"/>
        </w:rPr>
        <w:t>, а также</w:t>
      </w:r>
      <w:r w:rsidR="00684480" w:rsidRPr="004C6D82">
        <w:rPr>
          <w:rFonts w:ascii="Times New Roman" w:hAnsi="Times New Roman" w:cs="Times New Roman"/>
          <w:sz w:val="32"/>
          <w:szCs w:val="32"/>
        </w:rPr>
        <w:t xml:space="preserve"> продолжение вовлечения в</w:t>
      </w:r>
      <w:r w:rsidR="009015F6" w:rsidRPr="004C6D82">
        <w:rPr>
          <w:rFonts w:ascii="Times New Roman" w:hAnsi="Times New Roman" w:cs="Times New Roman"/>
          <w:sz w:val="32"/>
          <w:szCs w:val="32"/>
        </w:rPr>
        <w:t xml:space="preserve"> добыч</w:t>
      </w:r>
      <w:r w:rsidR="00684480" w:rsidRPr="004C6D82">
        <w:rPr>
          <w:rFonts w:ascii="Times New Roman" w:hAnsi="Times New Roman" w:cs="Times New Roman"/>
          <w:sz w:val="32"/>
          <w:szCs w:val="32"/>
        </w:rPr>
        <w:t>у т.н.</w:t>
      </w:r>
      <w:r w:rsidR="009015F6" w:rsidRPr="004C6D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15F6" w:rsidRPr="004C6D82">
        <w:rPr>
          <w:rFonts w:ascii="Times New Roman" w:hAnsi="Times New Roman" w:cs="Times New Roman"/>
          <w:sz w:val="32"/>
          <w:szCs w:val="32"/>
        </w:rPr>
        <w:t>высокомаржинальной</w:t>
      </w:r>
      <w:proofErr w:type="spellEnd"/>
      <w:r w:rsidR="009015F6" w:rsidRPr="004C6D82">
        <w:rPr>
          <w:rFonts w:ascii="Times New Roman" w:hAnsi="Times New Roman" w:cs="Times New Roman"/>
          <w:sz w:val="32"/>
          <w:szCs w:val="32"/>
        </w:rPr>
        <w:t xml:space="preserve"> нефти.</w:t>
      </w:r>
    </w:p>
    <w:p w:rsidR="008679B6" w:rsidRPr="004C6D82" w:rsidRDefault="00FA74B5" w:rsidP="006520E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>П</w:t>
      </w:r>
      <w:r w:rsidR="008679B6" w:rsidRPr="004C6D82">
        <w:rPr>
          <w:rFonts w:ascii="Times New Roman" w:hAnsi="Times New Roman" w:cs="Times New Roman"/>
          <w:sz w:val="32"/>
          <w:szCs w:val="32"/>
        </w:rPr>
        <w:t>рибыль</w:t>
      </w:r>
      <w:r w:rsidRPr="004C6D82">
        <w:rPr>
          <w:rFonts w:ascii="Times New Roman" w:hAnsi="Times New Roman" w:cs="Times New Roman"/>
          <w:sz w:val="32"/>
          <w:szCs w:val="32"/>
        </w:rPr>
        <w:t>, приходящаяся на акционеров «</w:t>
      </w:r>
      <w:proofErr w:type="spellStart"/>
      <w:r w:rsidRPr="004C6D82">
        <w:rPr>
          <w:rFonts w:ascii="Times New Roman" w:hAnsi="Times New Roman" w:cs="Times New Roman"/>
          <w:sz w:val="32"/>
          <w:szCs w:val="32"/>
        </w:rPr>
        <w:t>РуссНефть</w:t>
      </w:r>
      <w:proofErr w:type="spellEnd"/>
      <w:r w:rsidRPr="004C6D82">
        <w:rPr>
          <w:rFonts w:ascii="Times New Roman" w:hAnsi="Times New Roman" w:cs="Times New Roman"/>
          <w:sz w:val="32"/>
          <w:szCs w:val="32"/>
        </w:rPr>
        <w:t>»</w:t>
      </w:r>
      <w:r w:rsidR="00074375" w:rsidRPr="004C6D82">
        <w:rPr>
          <w:rFonts w:ascii="Times New Roman" w:hAnsi="Times New Roman" w:cs="Times New Roman"/>
          <w:sz w:val="32"/>
          <w:szCs w:val="32"/>
        </w:rPr>
        <w:t>,</w:t>
      </w:r>
      <w:r w:rsidR="008679B6" w:rsidRPr="004C6D82">
        <w:rPr>
          <w:rFonts w:ascii="Times New Roman" w:hAnsi="Times New Roman" w:cs="Times New Roman"/>
          <w:sz w:val="32"/>
          <w:szCs w:val="32"/>
        </w:rPr>
        <w:t xml:space="preserve"> составила </w:t>
      </w:r>
      <w:r w:rsidR="00684480" w:rsidRPr="004C6D82">
        <w:rPr>
          <w:rFonts w:ascii="Times New Roman" w:hAnsi="Times New Roman" w:cs="Times New Roman"/>
          <w:sz w:val="32"/>
          <w:szCs w:val="32"/>
        </w:rPr>
        <w:t>1</w:t>
      </w:r>
      <w:r w:rsidR="008679B6" w:rsidRPr="004C6D82">
        <w:rPr>
          <w:rFonts w:ascii="Times New Roman" w:hAnsi="Times New Roman" w:cs="Times New Roman"/>
          <w:sz w:val="32"/>
          <w:szCs w:val="32"/>
        </w:rPr>
        <w:t>,</w:t>
      </w:r>
      <w:r w:rsidR="005E5BA7" w:rsidRPr="004C6D82">
        <w:rPr>
          <w:rFonts w:ascii="Times New Roman" w:hAnsi="Times New Roman" w:cs="Times New Roman"/>
          <w:sz w:val="32"/>
          <w:szCs w:val="32"/>
        </w:rPr>
        <w:t>8</w:t>
      </w:r>
      <w:r w:rsidR="008679B6" w:rsidRPr="004C6D82">
        <w:rPr>
          <w:rFonts w:ascii="Times New Roman" w:hAnsi="Times New Roman" w:cs="Times New Roman"/>
          <w:sz w:val="32"/>
          <w:szCs w:val="32"/>
        </w:rPr>
        <w:t xml:space="preserve"> млрд руб</w:t>
      </w:r>
      <w:r w:rsidR="00C938DA" w:rsidRPr="004C6D82">
        <w:rPr>
          <w:rFonts w:ascii="Times New Roman" w:hAnsi="Times New Roman" w:cs="Times New Roman"/>
          <w:sz w:val="32"/>
          <w:szCs w:val="32"/>
        </w:rPr>
        <w:t>.</w:t>
      </w:r>
      <w:r w:rsidR="008679B6" w:rsidRPr="004C6D82">
        <w:rPr>
          <w:rFonts w:ascii="Times New Roman" w:hAnsi="Times New Roman" w:cs="Times New Roman"/>
          <w:sz w:val="32"/>
          <w:szCs w:val="32"/>
        </w:rPr>
        <w:t xml:space="preserve">, что на </w:t>
      </w:r>
      <w:r w:rsidR="00990289" w:rsidRPr="004C6D82">
        <w:rPr>
          <w:rFonts w:ascii="Times New Roman" w:hAnsi="Times New Roman" w:cs="Times New Roman"/>
          <w:sz w:val="32"/>
          <w:szCs w:val="32"/>
        </w:rPr>
        <w:t>44</w:t>
      </w:r>
      <w:r w:rsidR="008679B6" w:rsidRPr="004C6D82">
        <w:rPr>
          <w:rFonts w:ascii="Times New Roman" w:hAnsi="Times New Roman" w:cs="Times New Roman"/>
          <w:sz w:val="32"/>
          <w:szCs w:val="32"/>
        </w:rPr>
        <w:t>% ниже чем в</w:t>
      </w:r>
      <w:r w:rsidR="00E23AE9" w:rsidRPr="004C6D82">
        <w:rPr>
          <w:rFonts w:ascii="Times New Roman" w:hAnsi="Times New Roman" w:cs="Times New Roman"/>
          <w:sz w:val="32"/>
          <w:szCs w:val="32"/>
        </w:rPr>
        <w:t xml:space="preserve"> аналогичном периоде</w:t>
      </w:r>
      <w:r w:rsidR="008679B6" w:rsidRPr="004C6D82">
        <w:rPr>
          <w:rFonts w:ascii="Times New Roman" w:hAnsi="Times New Roman" w:cs="Times New Roman"/>
          <w:sz w:val="32"/>
          <w:szCs w:val="32"/>
        </w:rPr>
        <w:t xml:space="preserve"> прошло</w:t>
      </w:r>
      <w:r w:rsidR="00E23AE9" w:rsidRPr="004C6D82">
        <w:rPr>
          <w:rFonts w:ascii="Times New Roman" w:hAnsi="Times New Roman" w:cs="Times New Roman"/>
          <w:sz w:val="32"/>
          <w:szCs w:val="32"/>
        </w:rPr>
        <w:t xml:space="preserve">го </w:t>
      </w:r>
      <w:r w:rsidR="008679B6" w:rsidRPr="004C6D82">
        <w:rPr>
          <w:rFonts w:ascii="Times New Roman" w:hAnsi="Times New Roman" w:cs="Times New Roman"/>
          <w:sz w:val="32"/>
          <w:szCs w:val="32"/>
        </w:rPr>
        <w:t>год</w:t>
      </w:r>
      <w:r w:rsidR="00E23AE9" w:rsidRPr="004C6D82">
        <w:rPr>
          <w:rFonts w:ascii="Times New Roman" w:hAnsi="Times New Roman" w:cs="Times New Roman"/>
          <w:sz w:val="32"/>
          <w:szCs w:val="32"/>
        </w:rPr>
        <w:t>а</w:t>
      </w:r>
      <w:r w:rsidR="008679B6" w:rsidRPr="004C6D82">
        <w:rPr>
          <w:rFonts w:ascii="Times New Roman" w:hAnsi="Times New Roman" w:cs="Times New Roman"/>
          <w:sz w:val="32"/>
          <w:szCs w:val="32"/>
        </w:rPr>
        <w:t xml:space="preserve">. </w:t>
      </w:r>
      <w:r w:rsidR="00DB059E" w:rsidRPr="004C6D82">
        <w:rPr>
          <w:rFonts w:ascii="Times New Roman" w:hAnsi="Times New Roman" w:cs="Times New Roman"/>
          <w:sz w:val="32"/>
          <w:szCs w:val="32"/>
        </w:rPr>
        <w:t xml:space="preserve">Снижение </w:t>
      </w:r>
      <w:r w:rsidR="008679B6" w:rsidRPr="004C6D82">
        <w:rPr>
          <w:rFonts w:ascii="Times New Roman" w:hAnsi="Times New Roman" w:cs="Times New Roman"/>
          <w:sz w:val="32"/>
          <w:szCs w:val="32"/>
        </w:rPr>
        <w:t xml:space="preserve">прибыли </w:t>
      </w:r>
      <w:r w:rsidR="00DB059E" w:rsidRPr="004C6D82">
        <w:rPr>
          <w:rFonts w:ascii="Times New Roman" w:hAnsi="Times New Roman" w:cs="Times New Roman"/>
          <w:sz w:val="32"/>
          <w:szCs w:val="32"/>
        </w:rPr>
        <w:t>вызвано</w:t>
      </w:r>
      <w:r w:rsidR="00E23AE9" w:rsidRPr="004C6D82">
        <w:rPr>
          <w:rFonts w:ascii="Times New Roman" w:hAnsi="Times New Roman" w:cs="Times New Roman"/>
          <w:sz w:val="32"/>
          <w:szCs w:val="32"/>
        </w:rPr>
        <w:t>,</w:t>
      </w:r>
      <w:r w:rsidR="00E7102C"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684480" w:rsidRPr="004C6D82">
        <w:rPr>
          <w:rFonts w:ascii="Times New Roman" w:hAnsi="Times New Roman" w:cs="Times New Roman"/>
          <w:sz w:val="32"/>
          <w:szCs w:val="32"/>
        </w:rPr>
        <w:t>главным образом</w:t>
      </w:r>
      <w:r w:rsidR="000062E3" w:rsidRPr="004C6D82">
        <w:rPr>
          <w:rFonts w:ascii="Times New Roman" w:hAnsi="Times New Roman" w:cs="Times New Roman"/>
          <w:sz w:val="32"/>
          <w:szCs w:val="32"/>
        </w:rPr>
        <w:t>,</w:t>
      </w:r>
      <w:r w:rsidR="008679B6" w:rsidRPr="004C6D82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26648F" w:rsidRPr="004C6D82">
        <w:rPr>
          <w:rFonts w:ascii="Times New Roman" w:hAnsi="Times New Roman" w:cs="Times New Roman"/>
          <w:sz w:val="32"/>
          <w:szCs w:val="32"/>
        </w:rPr>
        <w:t>неденежным</w:t>
      </w:r>
      <w:proofErr w:type="spellEnd"/>
      <w:r w:rsidR="008679B6" w:rsidRPr="004C6D82">
        <w:rPr>
          <w:rFonts w:ascii="Times New Roman" w:hAnsi="Times New Roman" w:cs="Times New Roman"/>
          <w:sz w:val="32"/>
          <w:szCs w:val="32"/>
        </w:rPr>
        <w:t xml:space="preserve">» убытком от переоценки </w:t>
      </w:r>
      <w:r w:rsidR="00E7102C" w:rsidRPr="004C6D82">
        <w:rPr>
          <w:rFonts w:ascii="Times New Roman" w:hAnsi="Times New Roman" w:cs="Times New Roman"/>
          <w:sz w:val="32"/>
          <w:szCs w:val="32"/>
        </w:rPr>
        <w:t xml:space="preserve">справедливой стоимости </w:t>
      </w:r>
      <w:r w:rsidR="008679B6" w:rsidRPr="004C6D82">
        <w:rPr>
          <w:rFonts w:ascii="Times New Roman" w:hAnsi="Times New Roman" w:cs="Times New Roman"/>
          <w:sz w:val="32"/>
          <w:szCs w:val="32"/>
        </w:rPr>
        <w:t>производных финансовых инструментов</w:t>
      </w:r>
      <w:r w:rsidR="000062E3" w:rsidRPr="004C6D82">
        <w:rPr>
          <w:rFonts w:ascii="Times New Roman" w:hAnsi="Times New Roman" w:cs="Times New Roman"/>
          <w:sz w:val="32"/>
          <w:szCs w:val="32"/>
        </w:rPr>
        <w:t xml:space="preserve"> (опционов)</w:t>
      </w:r>
      <w:r w:rsidR="00684480" w:rsidRPr="004C6D82">
        <w:rPr>
          <w:rFonts w:ascii="Times New Roman" w:hAnsi="Times New Roman" w:cs="Times New Roman"/>
          <w:sz w:val="32"/>
          <w:szCs w:val="32"/>
        </w:rPr>
        <w:t xml:space="preserve">, а также эффектом </w:t>
      </w:r>
      <w:r w:rsidR="009E481F" w:rsidRPr="004C6D82">
        <w:rPr>
          <w:rFonts w:ascii="Times New Roman" w:hAnsi="Times New Roman" w:cs="Times New Roman"/>
          <w:sz w:val="32"/>
          <w:szCs w:val="32"/>
        </w:rPr>
        <w:t xml:space="preserve">отрицательных </w:t>
      </w:r>
      <w:r w:rsidR="00684480" w:rsidRPr="004C6D82">
        <w:rPr>
          <w:rFonts w:ascii="Times New Roman" w:hAnsi="Times New Roman" w:cs="Times New Roman"/>
          <w:sz w:val="32"/>
          <w:szCs w:val="32"/>
        </w:rPr>
        <w:t>курсовы</w:t>
      </w:r>
      <w:r w:rsidR="009E481F" w:rsidRPr="004C6D82">
        <w:rPr>
          <w:rFonts w:ascii="Times New Roman" w:hAnsi="Times New Roman" w:cs="Times New Roman"/>
          <w:sz w:val="32"/>
          <w:szCs w:val="32"/>
        </w:rPr>
        <w:t>х</w:t>
      </w:r>
      <w:r w:rsidR="00684480" w:rsidRPr="004C6D82">
        <w:rPr>
          <w:rFonts w:ascii="Times New Roman" w:hAnsi="Times New Roman" w:cs="Times New Roman"/>
          <w:sz w:val="32"/>
          <w:szCs w:val="32"/>
        </w:rPr>
        <w:t xml:space="preserve"> разниц.</w:t>
      </w:r>
    </w:p>
    <w:p w:rsidR="00DC3005" w:rsidRPr="004C6D82" w:rsidRDefault="008679B6" w:rsidP="00887FA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>Скорректированная прибыль без учета этих факто</w:t>
      </w:r>
      <w:r w:rsidR="009015F6" w:rsidRPr="004C6D82">
        <w:rPr>
          <w:rFonts w:ascii="Times New Roman" w:hAnsi="Times New Roman" w:cs="Times New Roman"/>
          <w:sz w:val="32"/>
          <w:szCs w:val="32"/>
        </w:rPr>
        <w:t>ро</w:t>
      </w:r>
      <w:r w:rsidRPr="004C6D82">
        <w:rPr>
          <w:rFonts w:ascii="Times New Roman" w:hAnsi="Times New Roman" w:cs="Times New Roman"/>
          <w:sz w:val="32"/>
          <w:szCs w:val="32"/>
        </w:rPr>
        <w:t>в</w:t>
      </w:r>
      <w:r w:rsidR="00DC3005"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E007BE" w:rsidRPr="004C6D82">
        <w:rPr>
          <w:rFonts w:ascii="Times New Roman" w:hAnsi="Times New Roman" w:cs="Times New Roman"/>
          <w:sz w:val="32"/>
          <w:szCs w:val="32"/>
        </w:rPr>
        <w:t xml:space="preserve">демонстрирует рост </w:t>
      </w:r>
      <w:r w:rsidR="00117B0C" w:rsidRPr="004C6D82">
        <w:rPr>
          <w:rFonts w:ascii="Times New Roman" w:hAnsi="Times New Roman" w:cs="Times New Roman"/>
          <w:sz w:val="32"/>
          <w:szCs w:val="32"/>
        </w:rPr>
        <w:t>в</w:t>
      </w:r>
      <w:r w:rsidR="00684480"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E7102C" w:rsidRPr="004C6D82">
        <w:rPr>
          <w:rFonts w:ascii="Times New Roman" w:hAnsi="Times New Roman" w:cs="Times New Roman"/>
          <w:sz w:val="32"/>
          <w:szCs w:val="32"/>
        </w:rPr>
        <w:t>3</w:t>
      </w:r>
      <w:r w:rsidR="00684480" w:rsidRPr="004C6D82">
        <w:rPr>
          <w:rFonts w:ascii="Times New Roman" w:hAnsi="Times New Roman" w:cs="Times New Roman"/>
          <w:sz w:val="32"/>
          <w:szCs w:val="32"/>
        </w:rPr>
        <w:t>,8</w:t>
      </w:r>
      <w:r w:rsidRPr="004C6D82">
        <w:rPr>
          <w:rFonts w:ascii="Times New Roman" w:hAnsi="Times New Roman" w:cs="Times New Roman"/>
          <w:sz w:val="32"/>
          <w:szCs w:val="32"/>
        </w:rPr>
        <w:t xml:space="preserve"> раза</w:t>
      </w:r>
      <w:r w:rsidR="00684480" w:rsidRPr="004C6D82">
        <w:rPr>
          <w:rFonts w:ascii="Times New Roman" w:hAnsi="Times New Roman" w:cs="Times New Roman"/>
          <w:sz w:val="32"/>
          <w:szCs w:val="32"/>
        </w:rPr>
        <w:t xml:space="preserve"> и составляет 9,8 млрд руб. </w:t>
      </w:r>
      <w:r w:rsidR="0089744C" w:rsidRPr="004C6D82">
        <w:rPr>
          <w:rFonts w:ascii="Times New Roman" w:hAnsi="Times New Roman" w:cs="Times New Roman"/>
          <w:sz w:val="32"/>
          <w:szCs w:val="32"/>
        </w:rPr>
        <w:t xml:space="preserve">Финансовые показатели за 1 полугодие 2018 года </w:t>
      </w:r>
      <w:r w:rsidRPr="004C6D82">
        <w:rPr>
          <w:rFonts w:ascii="Times New Roman" w:hAnsi="Times New Roman" w:cs="Times New Roman"/>
          <w:sz w:val="32"/>
          <w:szCs w:val="32"/>
        </w:rPr>
        <w:t>отража</w:t>
      </w:r>
      <w:r w:rsidR="00800360" w:rsidRPr="004C6D82">
        <w:rPr>
          <w:rFonts w:ascii="Times New Roman" w:hAnsi="Times New Roman" w:cs="Times New Roman"/>
          <w:sz w:val="32"/>
          <w:szCs w:val="32"/>
        </w:rPr>
        <w:t>ют</w:t>
      </w:r>
      <w:r w:rsidRPr="004C6D82">
        <w:rPr>
          <w:rFonts w:ascii="Times New Roman" w:hAnsi="Times New Roman" w:cs="Times New Roman"/>
          <w:sz w:val="32"/>
          <w:szCs w:val="32"/>
        </w:rPr>
        <w:t xml:space="preserve"> значительное улучшение операционного профиля</w:t>
      </w:r>
      <w:r w:rsidR="00E36DEB"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89744C" w:rsidRPr="004C6D82">
        <w:rPr>
          <w:rFonts w:ascii="Times New Roman" w:hAnsi="Times New Roman" w:cs="Times New Roman"/>
          <w:sz w:val="32"/>
          <w:szCs w:val="32"/>
        </w:rPr>
        <w:t>Компании</w:t>
      </w:r>
      <w:r w:rsidR="00637BF0" w:rsidRPr="004C6D82">
        <w:rPr>
          <w:rFonts w:ascii="Times New Roman" w:hAnsi="Times New Roman" w:cs="Times New Roman"/>
          <w:sz w:val="32"/>
          <w:szCs w:val="32"/>
        </w:rPr>
        <w:t>.</w:t>
      </w:r>
    </w:p>
    <w:p w:rsidR="00637BF0" w:rsidRPr="004C6D82" w:rsidRDefault="00887FA6" w:rsidP="008679B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C6D82">
        <w:rPr>
          <w:rFonts w:ascii="Times New Roman" w:hAnsi="Times New Roman" w:cs="Times New Roman"/>
          <w:b/>
          <w:sz w:val="32"/>
          <w:szCs w:val="32"/>
        </w:rPr>
        <w:t>Операционные результаты</w:t>
      </w:r>
    </w:p>
    <w:tbl>
      <w:tblPr>
        <w:tblW w:w="9123" w:type="dxa"/>
        <w:tblInd w:w="108" w:type="dxa"/>
        <w:tblLook w:val="04A0" w:firstRow="1" w:lastRow="0" w:firstColumn="1" w:lastColumn="0" w:noHBand="0" w:noVBand="1"/>
      </w:tblPr>
      <w:tblGrid>
        <w:gridCol w:w="4146"/>
        <w:gridCol w:w="1561"/>
        <w:gridCol w:w="1625"/>
        <w:gridCol w:w="1791"/>
      </w:tblGrid>
      <w:tr w:rsidR="00887FA6" w:rsidRPr="004C6D82" w:rsidTr="00887FA6">
        <w:trPr>
          <w:trHeight w:val="430"/>
        </w:trPr>
        <w:tc>
          <w:tcPr>
            <w:tcW w:w="41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87FA6" w:rsidP="00887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Операционные результаты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117B0C" w:rsidP="0080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1П</w:t>
            </w:r>
            <w:r w:rsidR="00887FA6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201</w:t>
            </w: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8</w:t>
            </w:r>
            <w:r w:rsidR="00887FA6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117B0C" w:rsidP="0080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1П</w:t>
            </w:r>
            <w:r w:rsidR="00887FA6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201</w:t>
            </w: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87FA6" w:rsidP="00887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Изменение</w:t>
            </w:r>
          </w:p>
        </w:tc>
      </w:tr>
      <w:tr w:rsidR="00887FA6" w:rsidRPr="004C6D82" w:rsidTr="00887FA6">
        <w:trPr>
          <w:trHeight w:val="364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87FA6" w:rsidP="00887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Добыча нефти</w:t>
            </w:r>
            <w:r w:rsidR="008973A7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, млн тонн, </w:t>
            </w:r>
          </w:p>
          <w:p w:rsidR="008973A7" w:rsidRPr="004C6D82" w:rsidRDefault="008973A7" w:rsidP="00887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том числе: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="008973A7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,</w:t>
            </w: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744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E36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="008973A7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,</w:t>
            </w: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721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  <w:r w:rsidR="00887FA6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887FA6" w:rsidRPr="004C6D82" w:rsidTr="00887FA6">
        <w:trPr>
          <w:trHeight w:val="331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87FA6" w:rsidP="00887F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Добыча нефти в РФ</w:t>
            </w:r>
            <w:r w:rsidR="00FD0347"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, млн. тонн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887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3</w:t>
            </w:r>
            <w:r w:rsidR="00E36DEB"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,</w:t>
            </w:r>
            <w:r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 xml:space="preserve"> 497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887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="00E36DEB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,</w:t>
            </w: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472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  <w:r w:rsidR="00887FA6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887FA6" w:rsidRPr="004C6D82" w:rsidTr="00887FA6">
        <w:trPr>
          <w:trHeight w:val="331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87FA6" w:rsidP="00887F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Добыча нефти по СРП проектам</w:t>
            </w:r>
            <w:r w:rsidR="00FD0347"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 xml:space="preserve"> тыс. тонн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887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247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887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887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(1)</w:t>
            </w:r>
            <w:r w:rsidR="00887FA6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887FA6" w:rsidRPr="004C6D82" w:rsidTr="00887FA6">
        <w:trPr>
          <w:trHeight w:val="331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157349" w:rsidP="00C124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vertAlign w:val="superscript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Добыча</w:t>
            </w:r>
            <w:r w:rsidR="00887FA6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газа</w:t>
            </w:r>
            <w:r w:rsidR="00FD0347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,</w:t>
            </w:r>
            <w:r w:rsidR="00C1241F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млн </w:t>
            </w:r>
            <w:r w:rsidR="00FD0347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</w:t>
            </w:r>
            <w:r w:rsidR="00FD0347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1</w:t>
            </w:r>
            <w:r w:rsidR="00157349"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4C6D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336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157349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FA6" w:rsidRPr="004C6D82" w:rsidRDefault="00800360" w:rsidP="00157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17</w:t>
            </w:r>
            <w:r w:rsidR="00887FA6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887FA6" w:rsidRPr="004C6D82" w:rsidTr="00151C6A">
        <w:trPr>
          <w:trHeight w:val="98"/>
        </w:trPr>
        <w:tc>
          <w:tcPr>
            <w:tcW w:w="41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87FA6" w:rsidRPr="004C6D82" w:rsidRDefault="00887FA6" w:rsidP="00887F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87FA6" w:rsidRPr="004C6D82" w:rsidRDefault="00887FA6" w:rsidP="00887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87FA6" w:rsidRPr="004C6D82" w:rsidRDefault="00887FA6" w:rsidP="00887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87FA6" w:rsidRPr="004C6D82" w:rsidRDefault="00887FA6" w:rsidP="00887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DB059E" w:rsidRPr="004C6D82" w:rsidRDefault="00DB059E" w:rsidP="00637BF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B059E" w:rsidRPr="004C6D82" w:rsidRDefault="00800360" w:rsidP="00FD034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lastRenderedPageBreak/>
        <w:t xml:space="preserve">Усилия менеджмента Компании направлены на сохранение текущих темпов добычи, а также на снижение затрат на добычу углеводородного сырья путем вовлечения </w:t>
      </w:r>
      <w:proofErr w:type="spellStart"/>
      <w:r w:rsidRPr="004C6D82">
        <w:rPr>
          <w:rFonts w:ascii="Times New Roman" w:hAnsi="Times New Roman" w:cs="Times New Roman"/>
          <w:sz w:val="32"/>
          <w:szCs w:val="32"/>
        </w:rPr>
        <w:t>высокомаржинальных</w:t>
      </w:r>
      <w:proofErr w:type="spellEnd"/>
      <w:r w:rsidRPr="004C6D82">
        <w:rPr>
          <w:rFonts w:ascii="Times New Roman" w:hAnsi="Times New Roman" w:cs="Times New Roman"/>
          <w:sz w:val="32"/>
          <w:szCs w:val="32"/>
        </w:rPr>
        <w:t xml:space="preserve"> баррелей и остановки нерентабельных скважин в текущих макроэкономических условиях</w:t>
      </w:r>
      <w:r w:rsidR="00DF1B11" w:rsidRPr="004C6D82">
        <w:rPr>
          <w:rFonts w:ascii="Times New Roman" w:hAnsi="Times New Roman" w:cs="Times New Roman"/>
          <w:sz w:val="32"/>
          <w:szCs w:val="32"/>
        </w:rPr>
        <w:t>.</w:t>
      </w:r>
      <w:r w:rsidR="002206B3"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9F134A" w:rsidRPr="004C6D82">
        <w:rPr>
          <w:rFonts w:ascii="Times New Roman" w:hAnsi="Times New Roman" w:cs="Times New Roman"/>
          <w:sz w:val="32"/>
          <w:szCs w:val="32"/>
        </w:rPr>
        <w:t>О</w:t>
      </w:r>
      <w:r w:rsidRPr="004C6D82">
        <w:rPr>
          <w:rFonts w:ascii="Times New Roman" w:hAnsi="Times New Roman" w:cs="Times New Roman"/>
          <w:sz w:val="32"/>
          <w:szCs w:val="32"/>
        </w:rPr>
        <w:t xml:space="preserve">бъем добычи нефти в 1П 2018 г. </w:t>
      </w:r>
      <w:r w:rsidR="009F134A" w:rsidRPr="004C6D82">
        <w:rPr>
          <w:rFonts w:ascii="Times New Roman" w:hAnsi="Times New Roman" w:cs="Times New Roman"/>
          <w:sz w:val="32"/>
          <w:szCs w:val="32"/>
        </w:rPr>
        <w:t xml:space="preserve">сохраняется </w:t>
      </w:r>
      <w:r w:rsidRPr="004C6D82">
        <w:rPr>
          <w:rFonts w:ascii="Times New Roman" w:hAnsi="Times New Roman" w:cs="Times New Roman"/>
          <w:sz w:val="32"/>
          <w:szCs w:val="32"/>
        </w:rPr>
        <w:t>на сопоставимом уровне с прошлым годом.</w:t>
      </w:r>
    </w:p>
    <w:p w:rsidR="00271BFD" w:rsidRPr="004C6D82" w:rsidRDefault="00271BFD" w:rsidP="00271BF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C6D82">
        <w:rPr>
          <w:rFonts w:ascii="Times New Roman" w:hAnsi="Times New Roman" w:cs="Times New Roman"/>
          <w:b/>
          <w:sz w:val="32"/>
          <w:szCs w:val="32"/>
        </w:rPr>
        <w:t>Капитальные вложения</w:t>
      </w:r>
      <w:r w:rsidR="0095040F" w:rsidRPr="004C6D82">
        <w:rPr>
          <w:rStyle w:val="a7"/>
          <w:rFonts w:ascii="Times New Roman" w:hAnsi="Times New Roman" w:cs="Times New Roman"/>
          <w:b/>
          <w:sz w:val="32"/>
          <w:szCs w:val="32"/>
        </w:rPr>
        <w:footnoteReference w:id="8"/>
      </w: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3800"/>
        <w:gridCol w:w="1780"/>
        <w:gridCol w:w="1520"/>
        <w:gridCol w:w="1720"/>
      </w:tblGrid>
      <w:tr w:rsidR="00B55AA0" w:rsidRPr="004C6D82" w:rsidTr="00B55AA0">
        <w:trPr>
          <w:trHeight w:val="660"/>
        </w:trPr>
        <w:tc>
          <w:tcPr>
            <w:tcW w:w="3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B55AA0" w:rsidP="00F42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Капитальные вложения (освоение), мл</w:t>
            </w:r>
            <w:r w:rsidR="00F42BB4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рд</w:t>
            </w: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руб.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800360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14</w:t>
            </w:r>
            <w:r w:rsidR="00F42BB4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,</w:t>
            </w:r>
            <w:r w:rsidR="000C7CD2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="00B55AA0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B55AA0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  <w:r w:rsidR="00800360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  <w:r w:rsidR="00F42BB4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,</w:t>
            </w:r>
            <w:r w:rsidR="00800360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800360" w:rsidP="00B55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13</w:t>
            </w:r>
            <w:r w:rsidR="00B55AA0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B55AA0" w:rsidRPr="004C6D82" w:rsidTr="00B55AA0">
        <w:trPr>
          <w:trHeight w:val="33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B55AA0" w:rsidP="00B5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ЭКСПЛУАТАЦИОННОЕ БУРЕНИЕ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4C6D82" w:rsidRDefault="00B55AA0" w:rsidP="00F52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800360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F42BB4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  <w:r w:rsidR="00F52F07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4C6D82" w:rsidRDefault="00800360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="00F42BB4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800360" w:rsidP="00B55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  <w:r w:rsidR="00561E5C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9</w:t>
            </w:r>
            <w:r w:rsidR="00B55AA0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B55AA0" w:rsidRPr="004C6D82" w:rsidTr="00B55AA0">
        <w:trPr>
          <w:trHeight w:val="34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B55AA0" w:rsidP="00B5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БАЗОВАЯ ДОБЫЧА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4C6D82" w:rsidRDefault="00800360" w:rsidP="00F52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F42BB4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  <w:r w:rsidR="000C7CD2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4C6D82" w:rsidRDefault="00F42BB4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F52F07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0C7CD2" w:rsidP="00E36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18</w:t>
            </w:r>
            <w:r w:rsidR="00B55AA0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B55AA0" w:rsidRPr="004C6D82" w:rsidTr="00B55AA0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B55AA0" w:rsidP="00B5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ГТМ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4C6D82" w:rsidRDefault="00F42BB4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1,</w:t>
            </w:r>
            <w:r w:rsidR="00800360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4C6D82" w:rsidRDefault="00800360" w:rsidP="00F52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  <w:r w:rsidR="00F42BB4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  <w:r w:rsidR="00F52F07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800360" w:rsidP="0056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  <w:r w:rsidR="00561E5C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00</w:t>
            </w:r>
            <w:r w:rsidR="00B55AA0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B55AA0" w:rsidRPr="004C6D82" w:rsidTr="00B55AA0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B55AA0" w:rsidP="00B5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ГАЗОВАЯ 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4C6D82" w:rsidRDefault="00800360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  <w:r w:rsidR="00F42BB4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  <w:r w:rsidR="00B55AA0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4C6D82" w:rsidRDefault="00800360" w:rsidP="0080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F42BB4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800360" w:rsidP="0056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(8</w:t>
            </w:r>
            <w:r w:rsidR="00561E5C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9</w:t>
            </w: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)</w:t>
            </w:r>
            <w:r w:rsidR="00B55AA0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  <w:tr w:rsidR="00B55AA0" w:rsidRPr="004C6D82" w:rsidTr="00B55AA0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B55AA0" w:rsidP="00B5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ГЕОЛОГО-РАЗВЕДОЧНЫЕ РАБОТЫ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4C6D82" w:rsidRDefault="00F42BB4" w:rsidP="00F52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</w:t>
            </w:r>
            <w:r w:rsidR="00F52F07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AA0" w:rsidRPr="004C6D82" w:rsidRDefault="00F42BB4" w:rsidP="00F52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0,</w:t>
            </w:r>
            <w:r w:rsidR="00B55AA0" w:rsidRPr="004C6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5AA0" w:rsidRPr="004C6D82" w:rsidRDefault="00800360" w:rsidP="00A76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(</w:t>
            </w:r>
            <w:r w:rsidR="00A76AD7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67</w:t>
            </w:r>
            <w:r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)</w:t>
            </w:r>
            <w:r w:rsidR="00B55AA0" w:rsidRPr="004C6D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%</w:t>
            </w:r>
          </w:p>
        </w:tc>
      </w:tr>
    </w:tbl>
    <w:p w:rsidR="00887FA6" w:rsidRPr="004C6D82" w:rsidRDefault="00887FA6" w:rsidP="00271BF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71BFD" w:rsidRPr="004C6D82" w:rsidRDefault="00271BFD" w:rsidP="00271BFD">
      <w:pPr>
        <w:spacing w:line="360" w:lineRule="auto"/>
        <w:ind w:left="63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>Стратегией Компании предусмотрена активная инвестиционная деятельность, направленная на</w:t>
      </w:r>
      <w:r w:rsidR="00800360" w:rsidRPr="004C6D82">
        <w:rPr>
          <w:rFonts w:ascii="Times New Roman" w:hAnsi="Times New Roman" w:cs="Times New Roman"/>
          <w:sz w:val="32"/>
          <w:szCs w:val="32"/>
        </w:rPr>
        <w:t xml:space="preserve"> рост объемов эксплуатационного</w:t>
      </w:r>
      <w:r w:rsidRPr="004C6D82">
        <w:rPr>
          <w:rFonts w:ascii="Times New Roman" w:hAnsi="Times New Roman" w:cs="Times New Roman"/>
          <w:sz w:val="32"/>
          <w:szCs w:val="32"/>
        </w:rPr>
        <w:t xml:space="preserve"> бурени</w:t>
      </w:r>
      <w:r w:rsidR="00800360" w:rsidRPr="004C6D82">
        <w:rPr>
          <w:rFonts w:ascii="Times New Roman" w:hAnsi="Times New Roman" w:cs="Times New Roman"/>
          <w:sz w:val="32"/>
          <w:szCs w:val="32"/>
        </w:rPr>
        <w:t>я,</w:t>
      </w:r>
      <w:r w:rsidRPr="004C6D82">
        <w:rPr>
          <w:rFonts w:ascii="Times New Roman" w:hAnsi="Times New Roman" w:cs="Times New Roman"/>
          <w:sz w:val="32"/>
          <w:szCs w:val="32"/>
        </w:rPr>
        <w:t xml:space="preserve"> ввод новых скважин, создание новой и модернизации существующей инфраструктуры в целях </w:t>
      </w:r>
      <w:r w:rsidR="00800360" w:rsidRPr="004C6D82">
        <w:rPr>
          <w:rFonts w:ascii="Times New Roman" w:hAnsi="Times New Roman" w:cs="Times New Roman"/>
          <w:sz w:val="32"/>
          <w:szCs w:val="32"/>
        </w:rPr>
        <w:t xml:space="preserve">поддержания </w:t>
      </w:r>
      <w:r w:rsidRPr="004C6D82">
        <w:rPr>
          <w:rFonts w:ascii="Times New Roman" w:hAnsi="Times New Roman" w:cs="Times New Roman"/>
          <w:sz w:val="32"/>
          <w:szCs w:val="32"/>
        </w:rPr>
        <w:t>темпов добычи</w:t>
      </w:r>
      <w:r w:rsidR="00800360" w:rsidRPr="004C6D82">
        <w:rPr>
          <w:rFonts w:ascii="Times New Roman" w:hAnsi="Times New Roman" w:cs="Times New Roman"/>
          <w:sz w:val="32"/>
          <w:szCs w:val="32"/>
        </w:rPr>
        <w:t xml:space="preserve"> на текущем уровне</w:t>
      </w:r>
      <w:r w:rsidRPr="004C6D82">
        <w:rPr>
          <w:rFonts w:ascii="Times New Roman" w:hAnsi="Times New Roman" w:cs="Times New Roman"/>
          <w:sz w:val="32"/>
          <w:szCs w:val="32"/>
        </w:rPr>
        <w:t xml:space="preserve">, достижения органичного роста в среднесрочной перспективе. </w:t>
      </w:r>
      <w:r w:rsidR="00BE242E" w:rsidRPr="004C6D82">
        <w:rPr>
          <w:rFonts w:ascii="Times New Roman" w:hAnsi="Times New Roman" w:cs="Times New Roman"/>
          <w:sz w:val="32"/>
          <w:szCs w:val="32"/>
        </w:rPr>
        <w:t xml:space="preserve">Объем инвестиций в </w:t>
      </w:r>
      <w:r w:rsidR="00800360" w:rsidRPr="004C6D82">
        <w:rPr>
          <w:rFonts w:ascii="Times New Roman" w:hAnsi="Times New Roman" w:cs="Times New Roman"/>
          <w:sz w:val="32"/>
          <w:szCs w:val="32"/>
        </w:rPr>
        <w:t>1П 2018</w:t>
      </w:r>
      <w:r w:rsidR="00BE242E" w:rsidRPr="004C6D82">
        <w:rPr>
          <w:rFonts w:ascii="Times New Roman" w:hAnsi="Times New Roman" w:cs="Times New Roman"/>
          <w:sz w:val="32"/>
          <w:szCs w:val="32"/>
        </w:rPr>
        <w:t xml:space="preserve"> г</w:t>
      </w:r>
      <w:r w:rsidR="00800360" w:rsidRPr="004C6D82">
        <w:rPr>
          <w:rFonts w:ascii="Times New Roman" w:hAnsi="Times New Roman" w:cs="Times New Roman"/>
          <w:sz w:val="32"/>
          <w:szCs w:val="32"/>
        </w:rPr>
        <w:t>.</w:t>
      </w:r>
      <w:r w:rsidR="00BE242E" w:rsidRPr="004C6D82">
        <w:rPr>
          <w:rFonts w:ascii="Times New Roman" w:hAnsi="Times New Roman" w:cs="Times New Roman"/>
          <w:sz w:val="32"/>
          <w:szCs w:val="32"/>
        </w:rPr>
        <w:t xml:space="preserve"> составил </w:t>
      </w:r>
      <w:r w:rsidR="00800360" w:rsidRPr="004C6D82">
        <w:rPr>
          <w:rFonts w:ascii="Times New Roman" w:hAnsi="Times New Roman" w:cs="Times New Roman"/>
          <w:sz w:val="32"/>
          <w:szCs w:val="32"/>
        </w:rPr>
        <w:t>14,</w:t>
      </w:r>
      <w:r w:rsidR="000C7CD2" w:rsidRPr="004C6D82">
        <w:rPr>
          <w:rFonts w:ascii="Times New Roman" w:hAnsi="Times New Roman" w:cs="Times New Roman"/>
          <w:sz w:val="32"/>
          <w:szCs w:val="32"/>
        </w:rPr>
        <w:t>4</w:t>
      </w:r>
      <w:r w:rsidR="00BE242E" w:rsidRPr="004C6D82">
        <w:rPr>
          <w:rFonts w:ascii="Times New Roman" w:hAnsi="Times New Roman" w:cs="Times New Roman"/>
          <w:sz w:val="32"/>
          <w:szCs w:val="32"/>
        </w:rPr>
        <w:t xml:space="preserve"> млрд руб., что </w:t>
      </w:r>
      <w:r w:rsidR="00DB059E" w:rsidRPr="004C6D82">
        <w:rPr>
          <w:rFonts w:ascii="Times New Roman" w:hAnsi="Times New Roman" w:cs="Times New Roman"/>
          <w:sz w:val="32"/>
          <w:szCs w:val="32"/>
        </w:rPr>
        <w:t>выше</w:t>
      </w:r>
      <w:r w:rsidR="00800360" w:rsidRPr="004C6D82">
        <w:rPr>
          <w:rFonts w:ascii="Times New Roman" w:hAnsi="Times New Roman" w:cs="Times New Roman"/>
          <w:sz w:val="32"/>
          <w:szCs w:val="32"/>
        </w:rPr>
        <w:t xml:space="preserve"> аналогичных</w:t>
      </w:r>
      <w:r w:rsidR="00DB059E"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BE242E" w:rsidRPr="004C6D82">
        <w:rPr>
          <w:rFonts w:ascii="Times New Roman" w:hAnsi="Times New Roman" w:cs="Times New Roman"/>
          <w:sz w:val="32"/>
          <w:szCs w:val="32"/>
        </w:rPr>
        <w:t xml:space="preserve">показателей </w:t>
      </w:r>
      <w:r w:rsidR="00800360" w:rsidRPr="004C6D82">
        <w:rPr>
          <w:rFonts w:ascii="Times New Roman" w:hAnsi="Times New Roman" w:cs="Times New Roman"/>
          <w:sz w:val="32"/>
          <w:szCs w:val="32"/>
        </w:rPr>
        <w:t xml:space="preserve">1П </w:t>
      </w:r>
      <w:r w:rsidR="00BE242E" w:rsidRPr="004C6D82">
        <w:rPr>
          <w:rFonts w:ascii="Times New Roman" w:hAnsi="Times New Roman" w:cs="Times New Roman"/>
          <w:sz w:val="32"/>
          <w:szCs w:val="32"/>
        </w:rPr>
        <w:t>201</w:t>
      </w:r>
      <w:r w:rsidR="00800360" w:rsidRPr="004C6D82">
        <w:rPr>
          <w:rFonts w:ascii="Times New Roman" w:hAnsi="Times New Roman" w:cs="Times New Roman"/>
          <w:sz w:val="32"/>
          <w:szCs w:val="32"/>
        </w:rPr>
        <w:t>7</w:t>
      </w:r>
      <w:r w:rsidR="00DB059E" w:rsidRPr="004C6D82">
        <w:rPr>
          <w:rFonts w:ascii="Times New Roman" w:hAnsi="Times New Roman" w:cs="Times New Roman"/>
          <w:sz w:val="32"/>
          <w:szCs w:val="32"/>
        </w:rPr>
        <w:t xml:space="preserve"> г</w:t>
      </w:r>
      <w:r w:rsidR="00F539E3" w:rsidRPr="004C6D82">
        <w:rPr>
          <w:rFonts w:ascii="Times New Roman" w:hAnsi="Times New Roman" w:cs="Times New Roman"/>
          <w:sz w:val="32"/>
          <w:szCs w:val="32"/>
        </w:rPr>
        <w:t>.</w:t>
      </w:r>
      <w:r w:rsidR="00DB059E"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BE242E" w:rsidRPr="004C6D82">
        <w:rPr>
          <w:rFonts w:ascii="Times New Roman" w:hAnsi="Times New Roman" w:cs="Times New Roman"/>
          <w:sz w:val="32"/>
          <w:szCs w:val="32"/>
        </w:rPr>
        <w:t xml:space="preserve">на </w:t>
      </w:r>
      <w:r w:rsidR="00800360" w:rsidRPr="004C6D82">
        <w:rPr>
          <w:rFonts w:ascii="Times New Roman" w:hAnsi="Times New Roman" w:cs="Times New Roman"/>
          <w:sz w:val="32"/>
          <w:szCs w:val="32"/>
        </w:rPr>
        <w:t>13</w:t>
      </w:r>
      <w:r w:rsidR="00BE242E" w:rsidRPr="004C6D82">
        <w:rPr>
          <w:rFonts w:ascii="Times New Roman" w:hAnsi="Times New Roman" w:cs="Times New Roman"/>
          <w:sz w:val="32"/>
          <w:szCs w:val="32"/>
        </w:rPr>
        <w:t xml:space="preserve">% или на </w:t>
      </w:r>
      <w:r w:rsidR="00800360" w:rsidRPr="004C6D82">
        <w:rPr>
          <w:rFonts w:ascii="Times New Roman" w:hAnsi="Times New Roman" w:cs="Times New Roman"/>
          <w:sz w:val="32"/>
          <w:szCs w:val="32"/>
        </w:rPr>
        <w:t>1</w:t>
      </w:r>
      <w:r w:rsidR="00BE242E" w:rsidRPr="004C6D82">
        <w:rPr>
          <w:rFonts w:ascii="Times New Roman" w:hAnsi="Times New Roman" w:cs="Times New Roman"/>
          <w:sz w:val="32"/>
          <w:szCs w:val="32"/>
        </w:rPr>
        <w:t>,</w:t>
      </w:r>
      <w:r w:rsidR="000C7CD2" w:rsidRPr="004C6D82">
        <w:rPr>
          <w:rFonts w:ascii="Times New Roman" w:hAnsi="Times New Roman" w:cs="Times New Roman"/>
          <w:sz w:val="32"/>
          <w:szCs w:val="32"/>
        </w:rPr>
        <w:t>7</w:t>
      </w:r>
      <w:r w:rsidR="00BE242E" w:rsidRPr="004C6D82">
        <w:rPr>
          <w:rFonts w:ascii="Times New Roman" w:hAnsi="Times New Roman" w:cs="Times New Roman"/>
          <w:sz w:val="32"/>
          <w:szCs w:val="32"/>
        </w:rPr>
        <w:t xml:space="preserve"> млрд руб</w:t>
      </w:r>
      <w:r w:rsidR="00FF68CB" w:rsidRPr="004C6D8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414BA" w:rsidRPr="004C6D82" w:rsidRDefault="00B414BA" w:rsidP="00B414B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C6D82">
        <w:rPr>
          <w:rFonts w:ascii="Times New Roman" w:hAnsi="Times New Roman" w:cs="Times New Roman"/>
          <w:b/>
          <w:sz w:val="32"/>
          <w:szCs w:val="32"/>
        </w:rPr>
        <w:t>Долговой портфель</w:t>
      </w:r>
    </w:p>
    <w:p w:rsidR="00B414BA" w:rsidRPr="004C6D82" w:rsidRDefault="00B414BA" w:rsidP="00B414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lastRenderedPageBreak/>
        <w:t xml:space="preserve">Чистый долг Компании в отчетном году составил </w:t>
      </w:r>
      <w:r w:rsidR="000E6E84" w:rsidRPr="004C6D82">
        <w:rPr>
          <w:rFonts w:ascii="Times New Roman" w:hAnsi="Times New Roman" w:cs="Times New Roman"/>
          <w:sz w:val="32"/>
          <w:szCs w:val="32"/>
        </w:rPr>
        <w:t>83,8</w:t>
      </w:r>
      <w:r w:rsidRPr="004C6D82">
        <w:rPr>
          <w:rFonts w:ascii="Times New Roman" w:hAnsi="Times New Roman" w:cs="Times New Roman"/>
          <w:sz w:val="32"/>
          <w:szCs w:val="32"/>
        </w:rPr>
        <w:t xml:space="preserve"> млрд руб. Основной кредитор – Банк ВТБ (П</w:t>
      </w:r>
      <w:r w:rsidR="00800360" w:rsidRPr="004C6D82">
        <w:rPr>
          <w:rFonts w:ascii="Times New Roman" w:hAnsi="Times New Roman" w:cs="Times New Roman"/>
          <w:sz w:val="32"/>
          <w:szCs w:val="32"/>
        </w:rPr>
        <w:t>АО). Незначительное изменение (</w:t>
      </w:r>
      <w:r w:rsidR="00464567" w:rsidRPr="004C6D82">
        <w:rPr>
          <w:rFonts w:ascii="Times New Roman" w:hAnsi="Times New Roman" w:cs="Times New Roman"/>
          <w:sz w:val="32"/>
          <w:szCs w:val="32"/>
        </w:rPr>
        <w:t>увеличение на 5</w:t>
      </w:r>
      <w:r w:rsidRPr="004C6D82">
        <w:rPr>
          <w:rFonts w:ascii="Times New Roman" w:hAnsi="Times New Roman" w:cs="Times New Roman"/>
          <w:sz w:val="32"/>
          <w:szCs w:val="32"/>
        </w:rPr>
        <w:t xml:space="preserve">%) связано преимущественно с </w:t>
      </w:r>
      <w:r w:rsidR="000E6E84" w:rsidRPr="004C6D82">
        <w:rPr>
          <w:rFonts w:ascii="Times New Roman" w:hAnsi="Times New Roman" w:cs="Times New Roman"/>
          <w:sz w:val="32"/>
          <w:szCs w:val="32"/>
        </w:rPr>
        <w:t xml:space="preserve">динамикой </w:t>
      </w:r>
      <w:r w:rsidR="00800360" w:rsidRPr="004C6D82">
        <w:rPr>
          <w:rFonts w:ascii="Times New Roman" w:hAnsi="Times New Roman" w:cs="Times New Roman"/>
          <w:sz w:val="32"/>
          <w:szCs w:val="32"/>
        </w:rPr>
        <w:t>курс</w:t>
      </w:r>
      <w:r w:rsidR="000E6E84" w:rsidRPr="004C6D82">
        <w:rPr>
          <w:rFonts w:ascii="Times New Roman" w:hAnsi="Times New Roman" w:cs="Times New Roman"/>
          <w:sz w:val="32"/>
          <w:szCs w:val="32"/>
        </w:rPr>
        <w:t>а</w:t>
      </w:r>
      <w:r w:rsidR="00464567" w:rsidRPr="004C6D82">
        <w:rPr>
          <w:rFonts w:ascii="Times New Roman" w:hAnsi="Times New Roman" w:cs="Times New Roman"/>
          <w:sz w:val="32"/>
          <w:szCs w:val="32"/>
        </w:rPr>
        <w:t xml:space="preserve"> доллара США</w:t>
      </w:r>
      <w:r w:rsidRPr="004C6D82">
        <w:rPr>
          <w:rFonts w:ascii="Times New Roman" w:hAnsi="Times New Roman" w:cs="Times New Roman"/>
          <w:sz w:val="32"/>
          <w:szCs w:val="32"/>
        </w:rPr>
        <w:t xml:space="preserve">. Благодаря слаженной работе менеджмента и акционеров, Компанией достигнуты целевые индикаторы по соблюдению финансовых и производственных </w:t>
      </w:r>
      <w:proofErr w:type="spellStart"/>
      <w:r w:rsidRPr="004C6D82">
        <w:rPr>
          <w:rFonts w:ascii="Times New Roman" w:hAnsi="Times New Roman" w:cs="Times New Roman"/>
          <w:sz w:val="32"/>
          <w:szCs w:val="32"/>
        </w:rPr>
        <w:t>ковенант</w:t>
      </w:r>
      <w:proofErr w:type="spellEnd"/>
      <w:r w:rsidRPr="004C6D82">
        <w:rPr>
          <w:rFonts w:ascii="Times New Roman" w:hAnsi="Times New Roman" w:cs="Times New Roman"/>
          <w:sz w:val="32"/>
          <w:szCs w:val="32"/>
        </w:rPr>
        <w:t xml:space="preserve">, процентные платежи по телу кредита выплачены своевременно и в полном объеме. </w:t>
      </w:r>
    </w:p>
    <w:p w:rsidR="00345C36" w:rsidRPr="004C6D82" w:rsidRDefault="00345C36" w:rsidP="00B414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C6D82">
        <w:rPr>
          <w:rFonts w:ascii="Times New Roman" w:hAnsi="Times New Roman" w:cs="Times New Roman"/>
          <w:sz w:val="32"/>
          <w:szCs w:val="32"/>
        </w:rPr>
        <w:t>Показатель  Чистый</w:t>
      </w:r>
      <w:proofErr w:type="gramEnd"/>
      <w:r w:rsidRPr="004C6D82">
        <w:rPr>
          <w:rFonts w:ascii="Times New Roman" w:hAnsi="Times New Roman" w:cs="Times New Roman"/>
          <w:sz w:val="32"/>
          <w:szCs w:val="32"/>
        </w:rPr>
        <w:t xml:space="preserve"> долг/</w:t>
      </w:r>
      <w:r w:rsidRPr="004C6D82">
        <w:rPr>
          <w:rFonts w:ascii="Times New Roman" w:hAnsi="Times New Roman" w:cs="Times New Roman"/>
          <w:sz w:val="32"/>
          <w:szCs w:val="32"/>
          <w:lang w:val="en-US"/>
        </w:rPr>
        <w:t>EBITDA</w:t>
      </w:r>
      <w:r w:rsidRPr="004C6D82">
        <w:rPr>
          <w:rFonts w:ascii="Times New Roman" w:hAnsi="Times New Roman" w:cs="Times New Roman"/>
          <w:sz w:val="32"/>
          <w:szCs w:val="32"/>
        </w:rPr>
        <w:t xml:space="preserve"> демонстрирует устойчивое снижение, впервые в истории Компании данный показатель зафиксирован </w:t>
      </w:r>
      <w:r w:rsidR="002C62BF" w:rsidRPr="004C6D82">
        <w:rPr>
          <w:rFonts w:ascii="Times New Roman" w:hAnsi="Times New Roman" w:cs="Times New Roman"/>
          <w:sz w:val="32"/>
          <w:szCs w:val="32"/>
        </w:rPr>
        <w:t>на уровне</w:t>
      </w:r>
      <w:r w:rsidRPr="004C6D82">
        <w:rPr>
          <w:rFonts w:ascii="Times New Roman" w:hAnsi="Times New Roman" w:cs="Times New Roman"/>
          <w:sz w:val="32"/>
          <w:szCs w:val="32"/>
        </w:rPr>
        <w:t xml:space="preserve"> 2, что свидетельствует о </w:t>
      </w:r>
      <w:r w:rsidR="00464567" w:rsidRPr="004C6D82">
        <w:rPr>
          <w:rFonts w:ascii="Times New Roman" w:hAnsi="Times New Roman" w:cs="Times New Roman"/>
          <w:sz w:val="32"/>
          <w:szCs w:val="32"/>
        </w:rPr>
        <w:t xml:space="preserve">стабилизации </w:t>
      </w:r>
      <w:r w:rsidRPr="004C6D82">
        <w:rPr>
          <w:rFonts w:ascii="Times New Roman" w:hAnsi="Times New Roman" w:cs="Times New Roman"/>
          <w:sz w:val="32"/>
          <w:szCs w:val="32"/>
        </w:rPr>
        <w:t>финансовой устойчивости.</w:t>
      </w:r>
    </w:p>
    <w:p w:rsidR="00DC627D" w:rsidRPr="004C6D82" w:rsidRDefault="00DC627D" w:rsidP="00DC627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C6D82">
        <w:rPr>
          <w:rFonts w:ascii="Times New Roman" w:hAnsi="Times New Roman" w:cs="Times New Roman"/>
          <w:b/>
          <w:sz w:val="32"/>
          <w:szCs w:val="32"/>
        </w:rPr>
        <w:t xml:space="preserve">Презентация результатов </w:t>
      </w:r>
    </w:p>
    <w:p w:rsidR="00B414BA" w:rsidRPr="004C6D82" w:rsidRDefault="00DC627D" w:rsidP="007B1CD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>Компания проведет презентацию результатов МСФО 1П 2018 г</w:t>
      </w:r>
      <w:r w:rsidR="0029689F" w:rsidRPr="004C6D82">
        <w:rPr>
          <w:rFonts w:ascii="Times New Roman" w:hAnsi="Times New Roman" w:cs="Times New Roman"/>
          <w:sz w:val="32"/>
          <w:szCs w:val="32"/>
        </w:rPr>
        <w:t>.</w:t>
      </w:r>
      <w:r w:rsidRPr="004C6D82">
        <w:rPr>
          <w:rFonts w:ascii="Times New Roman" w:hAnsi="Times New Roman" w:cs="Times New Roman"/>
          <w:sz w:val="32"/>
          <w:szCs w:val="32"/>
        </w:rPr>
        <w:t xml:space="preserve"> 29 августа 2018 г. в </w:t>
      </w:r>
      <w:r w:rsidR="001B61E3" w:rsidRPr="004C6D82">
        <w:rPr>
          <w:rFonts w:ascii="Times New Roman" w:hAnsi="Times New Roman" w:cs="Times New Roman"/>
          <w:sz w:val="32"/>
          <w:szCs w:val="32"/>
        </w:rPr>
        <w:t>15.00</w:t>
      </w:r>
      <w:r w:rsidRPr="004C6D82">
        <w:rPr>
          <w:rFonts w:ascii="Times New Roman" w:hAnsi="Times New Roman" w:cs="Times New Roman"/>
          <w:sz w:val="32"/>
          <w:szCs w:val="32"/>
        </w:rPr>
        <w:t>.</w:t>
      </w:r>
    </w:p>
    <w:p w:rsidR="00DC627D" w:rsidRPr="004C6D82" w:rsidRDefault="00DC627D" w:rsidP="00DC627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 xml:space="preserve">Трансляция будет проводиться на официальном канале Компании в </w:t>
      </w:r>
      <w:proofErr w:type="spellStart"/>
      <w:r w:rsidRPr="004C6D82">
        <w:rPr>
          <w:rFonts w:ascii="Times New Roman" w:hAnsi="Times New Roman" w:cs="Times New Roman"/>
          <w:sz w:val="32"/>
          <w:szCs w:val="32"/>
        </w:rPr>
        <w:t>Youtube</w:t>
      </w:r>
      <w:proofErr w:type="spellEnd"/>
      <w:r w:rsidR="007B1CDB" w:rsidRPr="004C6D82">
        <w:rPr>
          <w:rFonts w:ascii="Times New Roman" w:hAnsi="Times New Roman" w:cs="Times New Roman"/>
          <w:sz w:val="32"/>
          <w:szCs w:val="32"/>
        </w:rPr>
        <w:t xml:space="preserve"> и</w:t>
      </w:r>
      <w:r w:rsidRPr="004C6D82">
        <w:rPr>
          <w:rFonts w:ascii="Times New Roman" w:hAnsi="Times New Roman" w:cs="Times New Roman"/>
          <w:sz w:val="32"/>
          <w:szCs w:val="32"/>
        </w:rPr>
        <w:t xml:space="preserve"> в режиме телефонной конференции</w:t>
      </w:r>
      <w:r w:rsidR="001B61E3" w:rsidRPr="004C6D82">
        <w:rPr>
          <w:rFonts w:ascii="Times New Roman" w:hAnsi="Times New Roman" w:cs="Times New Roman"/>
          <w:sz w:val="32"/>
          <w:szCs w:val="32"/>
        </w:rPr>
        <w:t xml:space="preserve"> (+7(495)982-55-38 </w:t>
      </w:r>
      <w:r w:rsidR="001B61E3" w:rsidRPr="004C6D82">
        <w:rPr>
          <w:rFonts w:ascii="Times New Roman" w:hAnsi="Times New Roman" w:cs="Times New Roman"/>
          <w:sz w:val="32"/>
          <w:szCs w:val="32"/>
          <w:lang w:val="en-US"/>
        </w:rPr>
        <w:t>pin</w:t>
      </w:r>
      <w:r w:rsidR="001B61E3" w:rsidRPr="004C6D82">
        <w:rPr>
          <w:rFonts w:ascii="Times New Roman" w:hAnsi="Times New Roman" w:cs="Times New Roman"/>
          <w:sz w:val="32"/>
          <w:szCs w:val="32"/>
        </w:rPr>
        <w:t xml:space="preserve"> 20894)</w:t>
      </w:r>
      <w:r w:rsidRPr="004C6D82">
        <w:rPr>
          <w:rFonts w:ascii="Times New Roman" w:hAnsi="Times New Roman" w:cs="Times New Roman"/>
          <w:sz w:val="32"/>
          <w:szCs w:val="32"/>
        </w:rPr>
        <w:t>.</w:t>
      </w:r>
    </w:p>
    <w:p w:rsidR="00DC627D" w:rsidRPr="004C6D82" w:rsidRDefault="00DC627D" w:rsidP="00DC627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6D82">
        <w:rPr>
          <w:rFonts w:ascii="Times New Roman" w:hAnsi="Times New Roman" w:cs="Times New Roman"/>
          <w:sz w:val="32"/>
          <w:szCs w:val="32"/>
        </w:rPr>
        <w:t>Презентация</w:t>
      </w:r>
      <w:r w:rsidR="00E36DEB" w:rsidRPr="004C6D8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C6D82">
        <w:rPr>
          <w:rFonts w:ascii="Times New Roman" w:hAnsi="Times New Roman" w:cs="Times New Roman"/>
          <w:sz w:val="32"/>
          <w:szCs w:val="32"/>
        </w:rPr>
        <w:t>буд</w:t>
      </w:r>
      <w:r w:rsidR="001B61E3" w:rsidRPr="004C6D82">
        <w:rPr>
          <w:rFonts w:ascii="Times New Roman" w:hAnsi="Times New Roman" w:cs="Times New Roman"/>
          <w:sz w:val="32"/>
          <w:szCs w:val="32"/>
        </w:rPr>
        <w:t>е</w:t>
      </w:r>
      <w:r w:rsidRPr="004C6D82">
        <w:rPr>
          <w:rFonts w:ascii="Times New Roman" w:hAnsi="Times New Roman" w:cs="Times New Roman"/>
          <w:sz w:val="32"/>
          <w:szCs w:val="32"/>
        </w:rPr>
        <w:t xml:space="preserve">т </w:t>
      </w:r>
      <w:r w:rsidR="00825E1D"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A06373" w:rsidRPr="004C6D82">
        <w:rPr>
          <w:rFonts w:ascii="Times New Roman" w:hAnsi="Times New Roman" w:cs="Times New Roman"/>
          <w:sz w:val="32"/>
          <w:szCs w:val="32"/>
        </w:rPr>
        <w:t>размещен</w:t>
      </w:r>
      <w:r w:rsidR="002206B3" w:rsidRPr="004C6D82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825E1D" w:rsidRPr="004C6D82">
        <w:rPr>
          <w:rFonts w:ascii="Times New Roman" w:hAnsi="Times New Roman" w:cs="Times New Roman"/>
          <w:sz w:val="32"/>
          <w:szCs w:val="32"/>
        </w:rPr>
        <w:t xml:space="preserve"> </w:t>
      </w:r>
      <w:r w:rsidR="002206B3" w:rsidRPr="004C6D82">
        <w:rPr>
          <w:rFonts w:ascii="Times New Roman" w:hAnsi="Times New Roman" w:cs="Times New Roman"/>
          <w:sz w:val="32"/>
          <w:szCs w:val="32"/>
        </w:rPr>
        <w:t>на сайте Компании до начала трансляции</w:t>
      </w:r>
      <w:r w:rsidR="00825E1D" w:rsidRPr="004C6D82">
        <w:rPr>
          <w:rFonts w:ascii="Times New Roman" w:hAnsi="Times New Roman" w:cs="Times New Roman"/>
          <w:sz w:val="32"/>
          <w:szCs w:val="32"/>
        </w:rPr>
        <w:t>.</w:t>
      </w:r>
    </w:p>
    <w:p w:rsidR="00DC627D" w:rsidRPr="004C6D82" w:rsidRDefault="00DC627D" w:rsidP="00271BFD">
      <w:pPr>
        <w:spacing w:line="360" w:lineRule="auto"/>
        <w:ind w:left="63"/>
        <w:jc w:val="both"/>
        <w:rPr>
          <w:rFonts w:ascii="Times New Roman" w:hAnsi="Times New Roman" w:cs="Times New Roman"/>
          <w:sz w:val="32"/>
          <w:szCs w:val="32"/>
        </w:rPr>
      </w:pPr>
    </w:p>
    <w:p w:rsidR="00115A90" w:rsidRPr="004C6D82" w:rsidRDefault="00115A90">
      <w:pPr>
        <w:rPr>
          <w:rFonts w:ascii="Times New Roman" w:hAnsi="Times New Roman" w:cs="Times New Roman"/>
          <w:sz w:val="32"/>
          <w:szCs w:val="32"/>
        </w:rPr>
      </w:pPr>
    </w:p>
    <w:p w:rsidR="00115A90" w:rsidRPr="004C6D82" w:rsidRDefault="00115A90" w:rsidP="00115A9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C6D82">
        <w:rPr>
          <w:rFonts w:ascii="Times New Roman" w:hAnsi="Times New Roman" w:cs="Times New Roman"/>
          <w:b/>
          <w:bCs/>
          <w:sz w:val="32"/>
          <w:szCs w:val="32"/>
        </w:rPr>
        <w:t xml:space="preserve">Полная версия финансовых результатов </w:t>
      </w:r>
      <w:r w:rsidR="005E480B" w:rsidRPr="004C6D82">
        <w:rPr>
          <w:rFonts w:ascii="Times New Roman" w:hAnsi="Times New Roman" w:cs="Times New Roman"/>
          <w:b/>
          <w:bCs/>
          <w:sz w:val="32"/>
          <w:szCs w:val="32"/>
        </w:rPr>
        <w:t xml:space="preserve">МСФО </w:t>
      </w:r>
      <w:r w:rsidRPr="004C6D82">
        <w:rPr>
          <w:rFonts w:ascii="Times New Roman" w:hAnsi="Times New Roman" w:cs="Times New Roman"/>
          <w:b/>
          <w:bCs/>
          <w:sz w:val="32"/>
          <w:szCs w:val="32"/>
        </w:rPr>
        <w:t>доступна по ссылке:</w:t>
      </w:r>
    </w:p>
    <w:p w:rsidR="00115A90" w:rsidRPr="004C6D82" w:rsidRDefault="0024451B" w:rsidP="00115A90">
      <w:pPr>
        <w:rPr>
          <w:rFonts w:ascii="Times New Roman" w:hAnsi="Times New Roman" w:cs="Times New Roman"/>
          <w:b/>
          <w:bCs/>
          <w:sz w:val="32"/>
          <w:szCs w:val="32"/>
        </w:rPr>
      </w:pPr>
      <w:hyperlink r:id="rId9" w:history="1"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  <w:lang w:val="en-US"/>
          </w:rPr>
          <w:t>http</w:t>
        </w:r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://</w:t>
        </w:r>
        <w:proofErr w:type="spellStart"/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  <w:lang w:val="en-US"/>
          </w:rPr>
          <w:t>russneft</w:t>
        </w:r>
        <w:proofErr w:type="spellEnd"/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.</w:t>
        </w:r>
        <w:proofErr w:type="spellStart"/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  <w:lang w:val="en-US"/>
          </w:rPr>
          <w:t>ru</w:t>
        </w:r>
        <w:proofErr w:type="spellEnd"/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/</w:t>
        </w:r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  <w:lang w:val="en-US"/>
          </w:rPr>
          <w:t>shareholders</w:t>
        </w:r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/</w:t>
        </w:r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  <w:lang w:val="en-US"/>
          </w:rPr>
          <w:t>financial</w:t>
        </w:r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_</w:t>
        </w:r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  <w:lang w:val="en-US"/>
          </w:rPr>
          <w:t>statements</w:t>
        </w:r>
        <w:r w:rsidR="00115A90" w:rsidRPr="004C6D82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/</w:t>
        </w:r>
      </w:hyperlink>
      <w:r w:rsidR="00115A90" w:rsidRPr="004C6D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horzAnchor="margin" w:tblpY="5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15A90" w:rsidRPr="004C6D82" w:rsidTr="00115A90">
        <w:tc>
          <w:tcPr>
            <w:tcW w:w="5240" w:type="dxa"/>
          </w:tcPr>
          <w:p w:rsidR="00115A90" w:rsidRPr="004C6D82" w:rsidRDefault="00115A90" w:rsidP="00115A90">
            <w:pPr>
              <w:spacing w:after="120" w:line="240" w:lineRule="atLeast"/>
              <w:ind w:right="-143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lastRenderedPageBreak/>
              <w:t>Контакты для СМИ</w:t>
            </w:r>
          </w:p>
          <w:p w:rsidR="00115A90" w:rsidRPr="004C6D82" w:rsidRDefault="00115A90" w:rsidP="00115A90">
            <w:pPr>
              <w:spacing w:after="120" w:line="240" w:lineRule="atLeast"/>
              <w:ind w:right="-143"/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ru-RU"/>
              </w:rPr>
              <w:t>+7 (495) 411</w:t>
            </w:r>
            <w:r w:rsidR="00522A85" w:rsidRPr="004C6D82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ru-RU"/>
              </w:rPr>
              <w:t>-</w:t>
            </w:r>
            <w:r w:rsidRPr="004C6D82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ru-RU"/>
              </w:rPr>
              <w:t xml:space="preserve"> 63</w:t>
            </w:r>
            <w:r w:rsidR="00522A85" w:rsidRPr="004C6D82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ru-RU"/>
              </w:rPr>
              <w:t>-</w:t>
            </w:r>
            <w:r w:rsidRPr="004C6D82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ru-RU"/>
              </w:rPr>
              <w:t xml:space="preserve"> 24  </w:t>
            </w:r>
          </w:p>
          <w:p w:rsidR="00115A90" w:rsidRPr="004C6D82" w:rsidRDefault="0024451B" w:rsidP="00115A90">
            <w:pPr>
              <w:spacing w:after="120" w:line="240" w:lineRule="atLeast"/>
              <w:ind w:right="-14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hyperlink r:id="rId10" w:history="1">
              <w:r w:rsidR="00115A90" w:rsidRPr="004C6D8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32"/>
                  <w:szCs w:val="32"/>
                  <w:lang w:val="en-US" w:eastAsia="ru-RU"/>
                </w:rPr>
                <w:t>pr</w:t>
              </w:r>
              <w:r w:rsidR="00115A90" w:rsidRPr="004C6D8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32"/>
                  <w:szCs w:val="32"/>
                  <w:lang w:eastAsia="ru-RU"/>
                </w:rPr>
                <w:t>@</w:t>
              </w:r>
              <w:r w:rsidR="00115A90" w:rsidRPr="004C6D8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32"/>
                  <w:szCs w:val="32"/>
                  <w:lang w:val="en-US" w:eastAsia="ru-RU"/>
                </w:rPr>
                <w:t>russneft</w:t>
              </w:r>
              <w:r w:rsidR="00115A90" w:rsidRPr="004C6D8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32"/>
                  <w:szCs w:val="32"/>
                  <w:lang w:eastAsia="ru-RU"/>
                </w:rPr>
                <w:t>.</w:t>
              </w:r>
              <w:proofErr w:type="spellStart"/>
              <w:r w:rsidR="00115A90" w:rsidRPr="004C6D8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32"/>
                  <w:szCs w:val="32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105" w:type="dxa"/>
          </w:tcPr>
          <w:p w:rsidR="00115A90" w:rsidRPr="004C6D82" w:rsidRDefault="00115A90" w:rsidP="00115A90">
            <w:pPr>
              <w:spacing w:after="120" w:line="240" w:lineRule="atLeast"/>
              <w:ind w:right="-143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Контакты для инвесторов</w:t>
            </w:r>
          </w:p>
          <w:p w:rsidR="00115A90" w:rsidRPr="004C6D82" w:rsidRDefault="00115A90" w:rsidP="00115A90">
            <w:pPr>
              <w:spacing w:after="120" w:line="240" w:lineRule="atLeast"/>
              <w:ind w:right="-143"/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ru-RU"/>
              </w:rPr>
            </w:pPr>
            <w:r w:rsidRPr="004C6D82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ru-RU"/>
              </w:rPr>
              <w:t xml:space="preserve">+7 (495) 411-63-09  </w:t>
            </w:r>
          </w:p>
          <w:p w:rsidR="00115A90" w:rsidRPr="004C6D82" w:rsidRDefault="0024451B" w:rsidP="00115A90">
            <w:pPr>
              <w:spacing w:after="120" w:line="240" w:lineRule="atLeast"/>
              <w:ind w:right="-143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hyperlink r:id="rId11" w:history="1">
              <w:r w:rsidR="00115A90" w:rsidRPr="004C6D8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32"/>
                  <w:szCs w:val="32"/>
                  <w:lang w:val="en-US" w:eastAsia="ru-RU"/>
                </w:rPr>
                <w:t>ir</w:t>
              </w:r>
              <w:r w:rsidR="00115A90" w:rsidRPr="004C6D8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32"/>
                  <w:szCs w:val="32"/>
                  <w:lang w:eastAsia="ru-RU"/>
                </w:rPr>
                <w:t>@</w:t>
              </w:r>
              <w:r w:rsidR="00115A90" w:rsidRPr="004C6D8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32"/>
                  <w:szCs w:val="32"/>
                  <w:lang w:val="en-US" w:eastAsia="ru-RU"/>
                </w:rPr>
                <w:t>russneft</w:t>
              </w:r>
              <w:r w:rsidR="00115A90" w:rsidRPr="004C6D8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32"/>
                  <w:szCs w:val="32"/>
                  <w:lang w:eastAsia="ru-RU"/>
                </w:rPr>
                <w:t>.</w:t>
              </w:r>
              <w:proofErr w:type="spellStart"/>
              <w:r w:rsidR="00115A90" w:rsidRPr="004C6D82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32"/>
                  <w:szCs w:val="32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115A90" w:rsidRPr="004C6D82" w:rsidRDefault="00115A90">
      <w:pPr>
        <w:rPr>
          <w:rFonts w:ascii="Times New Roman" w:hAnsi="Times New Roman" w:cs="Times New Roman"/>
          <w:sz w:val="32"/>
          <w:szCs w:val="32"/>
        </w:rPr>
      </w:pPr>
    </w:p>
    <w:p w:rsidR="00A134E4" w:rsidRPr="004C6D82" w:rsidRDefault="00A134E4" w:rsidP="00A134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C6D82">
        <w:rPr>
          <w:rFonts w:ascii="Times New Roman" w:hAnsi="Times New Roman" w:cs="Times New Roman"/>
          <w:b/>
          <w:i/>
          <w:sz w:val="32"/>
          <w:szCs w:val="32"/>
        </w:rPr>
        <w:t>О Компании:</w:t>
      </w:r>
    </w:p>
    <w:p w:rsidR="00A134E4" w:rsidRPr="004C6D82" w:rsidRDefault="00A134E4" w:rsidP="00A134E4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C6D82">
        <w:rPr>
          <w:rFonts w:ascii="Times New Roman" w:hAnsi="Times New Roman" w:cs="Times New Roman"/>
          <w:i/>
          <w:sz w:val="32"/>
          <w:szCs w:val="32"/>
        </w:rPr>
        <w:t>ПАО НК «</w:t>
      </w:r>
      <w:proofErr w:type="spellStart"/>
      <w:r w:rsidRPr="004C6D82">
        <w:rPr>
          <w:rFonts w:ascii="Times New Roman" w:hAnsi="Times New Roman" w:cs="Times New Roman"/>
          <w:i/>
          <w:sz w:val="32"/>
          <w:szCs w:val="32"/>
        </w:rPr>
        <w:t>РуссНефть</w:t>
      </w:r>
      <w:proofErr w:type="spellEnd"/>
      <w:r w:rsidRPr="004C6D82">
        <w:rPr>
          <w:rFonts w:ascii="Times New Roman" w:hAnsi="Times New Roman" w:cs="Times New Roman"/>
          <w:i/>
          <w:sz w:val="32"/>
          <w:szCs w:val="32"/>
        </w:rPr>
        <w:t xml:space="preserve">» </w:t>
      </w:r>
      <w:r w:rsidR="00F42BB4" w:rsidRPr="004C6D82">
        <w:rPr>
          <w:rFonts w:ascii="Times New Roman" w:hAnsi="Times New Roman" w:cs="Times New Roman"/>
          <w:i/>
          <w:sz w:val="32"/>
          <w:szCs w:val="32"/>
        </w:rPr>
        <w:t>одна из</w:t>
      </w:r>
      <w:r w:rsidRPr="004C6D82">
        <w:rPr>
          <w:rFonts w:ascii="Times New Roman" w:hAnsi="Times New Roman" w:cs="Times New Roman"/>
          <w:i/>
          <w:sz w:val="32"/>
          <w:szCs w:val="32"/>
        </w:rPr>
        <w:t xml:space="preserve"> крупнейших нефтяных компаний </w:t>
      </w:r>
      <w:r w:rsidR="00F42BB4" w:rsidRPr="004C6D82">
        <w:rPr>
          <w:rFonts w:ascii="Times New Roman" w:hAnsi="Times New Roman" w:cs="Times New Roman"/>
          <w:i/>
          <w:sz w:val="32"/>
          <w:szCs w:val="32"/>
        </w:rPr>
        <w:t>по объемам добычи</w:t>
      </w:r>
      <w:r w:rsidRPr="004C6D82">
        <w:rPr>
          <w:rFonts w:ascii="Times New Roman" w:hAnsi="Times New Roman" w:cs="Times New Roman"/>
          <w:i/>
          <w:sz w:val="32"/>
          <w:szCs w:val="32"/>
        </w:rPr>
        <w:t xml:space="preserve"> в России. </w:t>
      </w:r>
    </w:p>
    <w:p w:rsidR="00A134E4" w:rsidRPr="004C6D82" w:rsidRDefault="00A134E4" w:rsidP="00A134E4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C6D82">
        <w:rPr>
          <w:rFonts w:ascii="Times New Roman" w:hAnsi="Times New Roman" w:cs="Times New Roman"/>
          <w:i/>
          <w:sz w:val="32"/>
          <w:szCs w:val="32"/>
        </w:rPr>
        <w:t xml:space="preserve">Компания обладает сбалансированным портфелем активов в ключевых нефтегазоносных регионах России (Западной Сибири, Волго-Уральском регионе и Центральной Сибири), а также в Азербайджане. </w:t>
      </w:r>
    </w:p>
    <w:p w:rsidR="00A134E4" w:rsidRPr="004C6D82" w:rsidRDefault="00A134E4" w:rsidP="00A134E4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C6D82">
        <w:rPr>
          <w:rFonts w:ascii="Times New Roman" w:hAnsi="Times New Roman" w:cs="Times New Roman"/>
          <w:i/>
          <w:sz w:val="32"/>
          <w:szCs w:val="32"/>
        </w:rPr>
        <w:t>Объем 2P запасов Компании превышает 200 млн тонн (SPE)</w:t>
      </w:r>
      <w:r w:rsidR="00A355A7" w:rsidRPr="004C6D82">
        <w:rPr>
          <w:rStyle w:val="a7"/>
          <w:rFonts w:ascii="Times New Roman" w:hAnsi="Times New Roman" w:cs="Times New Roman"/>
          <w:i/>
          <w:sz w:val="32"/>
          <w:szCs w:val="32"/>
        </w:rPr>
        <w:footnoteReference w:id="9"/>
      </w:r>
      <w:r w:rsidRPr="004C6D82">
        <w:rPr>
          <w:rFonts w:ascii="Times New Roman" w:hAnsi="Times New Roman" w:cs="Times New Roman"/>
          <w:i/>
          <w:sz w:val="32"/>
          <w:szCs w:val="32"/>
        </w:rPr>
        <w:t xml:space="preserve">. Численность персонала составляет около 10 000 человек. </w:t>
      </w:r>
    </w:p>
    <w:p w:rsidR="00941A06" w:rsidRPr="004C6D82" w:rsidRDefault="00A134E4" w:rsidP="003E563D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C6D82">
        <w:rPr>
          <w:rFonts w:ascii="Times New Roman" w:hAnsi="Times New Roman" w:cs="Times New Roman"/>
          <w:i/>
          <w:sz w:val="32"/>
          <w:szCs w:val="32"/>
        </w:rPr>
        <w:t>Уставный капитал Компании состоит из 294 120 000 обыкновенных и 98 032 000 привилегированных акций.</w:t>
      </w:r>
    </w:p>
    <w:sectPr w:rsidR="00941A06" w:rsidRPr="004C6D8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51B" w:rsidRDefault="0024451B" w:rsidP="00DE1826">
      <w:pPr>
        <w:spacing w:after="0" w:line="240" w:lineRule="auto"/>
      </w:pPr>
      <w:r>
        <w:separator/>
      </w:r>
    </w:p>
  </w:endnote>
  <w:endnote w:type="continuationSeparator" w:id="0">
    <w:p w:rsidR="0024451B" w:rsidRDefault="0024451B" w:rsidP="00DE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-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51B" w:rsidRDefault="0024451B" w:rsidP="00DE1826">
      <w:pPr>
        <w:spacing w:after="0" w:line="240" w:lineRule="auto"/>
      </w:pPr>
      <w:r>
        <w:separator/>
      </w:r>
    </w:p>
  </w:footnote>
  <w:footnote w:type="continuationSeparator" w:id="0">
    <w:p w:rsidR="0024451B" w:rsidRDefault="0024451B" w:rsidP="00DE1826">
      <w:pPr>
        <w:spacing w:after="0" w:line="240" w:lineRule="auto"/>
      </w:pPr>
      <w:r>
        <w:continuationSeparator/>
      </w:r>
    </w:p>
  </w:footnote>
  <w:footnote w:id="1">
    <w:p w:rsidR="00FF68CB" w:rsidRPr="004C6D82" w:rsidRDefault="00FF68CB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8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C6D82">
        <w:rPr>
          <w:rFonts w:ascii="Times New Roman" w:hAnsi="Times New Roman" w:cs="Times New Roman"/>
          <w:sz w:val="24"/>
          <w:szCs w:val="24"/>
        </w:rPr>
        <w:t xml:space="preserve"> Без учета курсовых разниц и переоценки справедливой стоимости финансовых инструментов</w:t>
      </w:r>
      <w:r w:rsidR="00C727B8" w:rsidRPr="004C6D82">
        <w:rPr>
          <w:rFonts w:ascii="Times New Roman" w:hAnsi="Times New Roman" w:cs="Times New Roman"/>
          <w:sz w:val="24"/>
          <w:szCs w:val="24"/>
        </w:rPr>
        <w:t xml:space="preserve"> (опционов)</w:t>
      </w:r>
    </w:p>
  </w:footnote>
  <w:footnote w:id="2">
    <w:p w:rsidR="00FF68CB" w:rsidRPr="004C6D82" w:rsidRDefault="00FF68CB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8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C6D82">
        <w:rPr>
          <w:rFonts w:ascii="Times New Roman" w:hAnsi="Times New Roman" w:cs="Times New Roman"/>
          <w:sz w:val="24"/>
          <w:szCs w:val="24"/>
        </w:rPr>
        <w:t xml:space="preserve">  С учетом добычи международных проектов</w:t>
      </w:r>
    </w:p>
  </w:footnote>
  <w:footnote w:id="3">
    <w:p w:rsidR="00345C36" w:rsidRPr="004C6D82" w:rsidRDefault="00345C36">
      <w:pPr>
        <w:pStyle w:val="a5"/>
        <w:rPr>
          <w:rFonts w:ascii="Times New Roman" w:hAnsi="Times New Roman" w:cs="Times New Roman"/>
        </w:rPr>
      </w:pPr>
      <w:r w:rsidRPr="004C6D8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C6D82">
        <w:rPr>
          <w:rFonts w:ascii="Times New Roman" w:hAnsi="Times New Roman" w:cs="Times New Roman"/>
          <w:sz w:val="24"/>
          <w:szCs w:val="24"/>
        </w:rPr>
        <w:t xml:space="preserve"> Показатель </w:t>
      </w:r>
      <w:r w:rsidRPr="004C6D82">
        <w:rPr>
          <w:rFonts w:ascii="Times New Roman" w:hAnsi="Times New Roman" w:cs="Times New Roman"/>
          <w:sz w:val="24"/>
          <w:szCs w:val="24"/>
          <w:lang w:val="en-US"/>
        </w:rPr>
        <w:t>EBITDA</w:t>
      </w:r>
      <w:r w:rsidRPr="004C6D82">
        <w:rPr>
          <w:rFonts w:ascii="Times New Roman" w:hAnsi="Times New Roman" w:cs="Times New Roman"/>
          <w:sz w:val="24"/>
          <w:szCs w:val="24"/>
        </w:rPr>
        <w:t xml:space="preserve"> рассчитан за последние 12 месяцев</w:t>
      </w:r>
    </w:p>
  </w:footnote>
  <w:footnote w:id="4">
    <w:p w:rsidR="004C729E" w:rsidRPr="004C6D82" w:rsidRDefault="004C729E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8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C6D82">
        <w:rPr>
          <w:rFonts w:ascii="Times New Roman" w:hAnsi="Times New Roman" w:cs="Times New Roman"/>
          <w:sz w:val="24"/>
          <w:szCs w:val="24"/>
        </w:rPr>
        <w:t xml:space="preserve"> Показатель </w:t>
      </w:r>
      <w:r w:rsidRPr="004C6D82">
        <w:rPr>
          <w:rFonts w:ascii="Times New Roman" w:hAnsi="Times New Roman" w:cs="Times New Roman"/>
          <w:sz w:val="24"/>
          <w:szCs w:val="24"/>
          <w:lang w:val="en-US"/>
        </w:rPr>
        <w:t>EBITDA</w:t>
      </w:r>
      <w:r w:rsidRPr="004C6D82">
        <w:rPr>
          <w:rFonts w:ascii="Times New Roman" w:hAnsi="Times New Roman" w:cs="Times New Roman"/>
          <w:sz w:val="24"/>
          <w:szCs w:val="24"/>
        </w:rPr>
        <w:t xml:space="preserve"> не учитывает курсовые разницы</w:t>
      </w:r>
      <w:r w:rsidR="00C74881" w:rsidRPr="004C6D82">
        <w:rPr>
          <w:rFonts w:ascii="Times New Roman" w:hAnsi="Times New Roman" w:cs="Times New Roman"/>
          <w:sz w:val="24"/>
          <w:szCs w:val="24"/>
        </w:rPr>
        <w:t>,</w:t>
      </w:r>
      <w:r w:rsidRPr="004C6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D82">
        <w:rPr>
          <w:rFonts w:ascii="Times New Roman" w:hAnsi="Times New Roman" w:cs="Times New Roman"/>
          <w:sz w:val="24"/>
          <w:szCs w:val="24"/>
        </w:rPr>
        <w:t>неденежные</w:t>
      </w:r>
      <w:proofErr w:type="spellEnd"/>
      <w:r w:rsidRPr="004C6D82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C74881" w:rsidRPr="004C6D82">
        <w:rPr>
          <w:rFonts w:ascii="Times New Roman" w:hAnsi="Times New Roman" w:cs="Times New Roman"/>
          <w:sz w:val="24"/>
          <w:szCs w:val="24"/>
        </w:rPr>
        <w:t>, единовременные операции, исполнение обязательств по финансовым инструментам (опционам)</w:t>
      </w:r>
    </w:p>
  </w:footnote>
  <w:footnote w:id="5">
    <w:p w:rsidR="004C729E" w:rsidRPr="004C6D82" w:rsidRDefault="004C729E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8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C6D82">
        <w:rPr>
          <w:rFonts w:ascii="Times New Roman" w:hAnsi="Times New Roman" w:cs="Times New Roman"/>
          <w:sz w:val="24"/>
          <w:szCs w:val="24"/>
        </w:rPr>
        <w:t xml:space="preserve">  Показатель </w:t>
      </w:r>
      <w:r w:rsidRPr="004C6D82">
        <w:rPr>
          <w:rFonts w:ascii="Times New Roman" w:hAnsi="Times New Roman" w:cs="Times New Roman"/>
          <w:sz w:val="24"/>
          <w:szCs w:val="24"/>
          <w:lang w:val="en-US"/>
        </w:rPr>
        <w:t>OIBDA</w:t>
      </w:r>
      <w:r w:rsidRPr="004C6D82">
        <w:rPr>
          <w:rFonts w:ascii="Times New Roman" w:hAnsi="Times New Roman" w:cs="Times New Roman"/>
          <w:sz w:val="24"/>
          <w:szCs w:val="24"/>
        </w:rPr>
        <w:t xml:space="preserve"> не учитывает прочие операционные расходы и </w:t>
      </w:r>
      <w:proofErr w:type="spellStart"/>
      <w:r w:rsidRPr="004C6D82">
        <w:rPr>
          <w:rFonts w:ascii="Times New Roman" w:hAnsi="Times New Roman" w:cs="Times New Roman"/>
          <w:sz w:val="24"/>
          <w:szCs w:val="24"/>
        </w:rPr>
        <w:t>неденежные</w:t>
      </w:r>
      <w:proofErr w:type="spellEnd"/>
      <w:r w:rsidRPr="004C6D82">
        <w:rPr>
          <w:rFonts w:ascii="Times New Roman" w:hAnsi="Times New Roman" w:cs="Times New Roman"/>
          <w:sz w:val="24"/>
          <w:szCs w:val="24"/>
        </w:rPr>
        <w:t xml:space="preserve"> статьи</w:t>
      </w:r>
    </w:p>
  </w:footnote>
  <w:footnote w:id="6">
    <w:p w:rsidR="004C729E" w:rsidRPr="004C6D82" w:rsidRDefault="004C729E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8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C6D82">
        <w:rPr>
          <w:rFonts w:ascii="Times New Roman" w:hAnsi="Times New Roman" w:cs="Times New Roman"/>
          <w:sz w:val="24"/>
          <w:szCs w:val="24"/>
        </w:rPr>
        <w:t xml:space="preserve"> </w:t>
      </w:r>
      <w:r w:rsidR="00052436" w:rsidRPr="004C6D82">
        <w:rPr>
          <w:rFonts w:ascii="Times New Roman" w:hAnsi="Times New Roman" w:cs="Times New Roman"/>
          <w:sz w:val="24"/>
          <w:szCs w:val="24"/>
        </w:rPr>
        <w:t xml:space="preserve">Показатель Скорректированная прибыль не учитывает </w:t>
      </w:r>
      <w:r w:rsidRPr="004C6D82">
        <w:rPr>
          <w:rFonts w:ascii="Times New Roman" w:hAnsi="Times New Roman" w:cs="Times New Roman"/>
          <w:sz w:val="24"/>
          <w:szCs w:val="24"/>
        </w:rPr>
        <w:t>курсовы</w:t>
      </w:r>
      <w:r w:rsidR="00052436" w:rsidRPr="004C6D82">
        <w:rPr>
          <w:rFonts w:ascii="Times New Roman" w:hAnsi="Times New Roman" w:cs="Times New Roman"/>
          <w:sz w:val="24"/>
          <w:szCs w:val="24"/>
        </w:rPr>
        <w:t>е</w:t>
      </w:r>
      <w:r w:rsidRPr="004C6D82">
        <w:rPr>
          <w:rFonts w:ascii="Times New Roman" w:hAnsi="Times New Roman" w:cs="Times New Roman"/>
          <w:sz w:val="24"/>
          <w:szCs w:val="24"/>
        </w:rPr>
        <w:t xml:space="preserve"> разниц</w:t>
      </w:r>
      <w:r w:rsidR="00052436" w:rsidRPr="004C6D82">
        <w:rPr>
          <w:rFonts w:ascii="Times New Roman" w:hAnsi="Times New Roman" w:cs="Times New Roman"/>
          <w:sz w:val="24"/>
          <w:szCs w:val="24"/>
        </w:rPr>
        <w:t>ы</w:t>
      </w:r>
      <w:r w:rsidRPr="004C6D82">
        <w:rPr>
          <w:rFonts w:ascii="Times New Roman" w:hAnsi="Times New Roman" w:cs="Times New Roman"/>
          <w:sz w:val="24"/>
          <w:szCs w:val="24"/>
        </w:rPr>
        <w:t xml:space="preserve"> и переоценк</w:t>
      </w:r>
      <w:r w:rsidR="00052436" w:rsidRPr="004C6D82">
        <w:rPr>
          <w:rFonts w:ascii="Times New Roman" w:hAnsi="Times New Roman" w:cs="Times New Roman"/>
          <w:sz w:val="24"/>
          <w:szCs w:val="24"/>
        </w:rPr>
        <w:t>у</w:t>
      </w:r>
      <w:r w:rsidRPr="004C6D82">
        <w:rPr>
          <w:rFonts w:ascii="Times New Roman" w:hAnsi="Times New Roman" w:cs="Times New Roman"/>
          <w:sz w:val="24"/>
          <w:szCs w:val="24"/>
        </w:rPr>
        <w:t xml:space="preserve"> справедливой стоимости финансовых инструментов</w:t>
      </w:r>
      <w:r w:rsidR="00052436" w:rsidRPr="004C6D82">
        <w:rPr>
          <w:rFonts w:ascii="Times New Roman" w:hAnsi="Times New Roman" w:cs="Times New Roman"/>
          <w:sz w:val="24"/>
          <w:szCs w:val="24"/>
        </w:rPr>
        <w:t xml:space="preserve"> (опционов)</w:t>
      </w:r>
    </w:p>
  </w:footnote>
  <w:footnote w:id="7">
    <w:p w:rsidR="00F02D0B" w:rsidRDefault="00F02D0B">
      <w:pPr>
        <w:pStyle w:val="a5"/>
      </w:pPr>
      <w:r w:rsidRPr="004C6D8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C6D82">
        <w:rPr>
          <w:rFonts w:ascii="Times New Roman" w:hAnsi="Times New Roman" w:cs="Times New Roman"/>
          <w:sz w:val="24"/>
          <w:szCs w:val="24"/>
        </w:rPr>
        <w:t xml:space="preserve"> Сравнительные данные по Чистому долгу приведены по состоянию на 31 декабря 2017</w:t>
      </w:r>
    </w:p>
  </w:footnote>
  <w:footnote w:id="8">
    <w:p w:rsidR="0095040F" w:rsidRPr="004C6D82" w:rsidRDefault="0095040F">
      <w:pPr>
        <w:pStyle w:val="a5"/>
        <w:rPr>
          <w:rFonts w:ascii="Times New Roman" w:hAnsi="Times New Roman" w:cs="Times New Roman"/>
        </w:rPr>
      </w:pPr>
      <w:r w:rsidRPr="004C6D82">
        <w:rPr>
          <w:rStyle w:val="a7"/>
          <w:rFonts w:ascii="Times New Roman" w:hAnsi="Times New Roman" w:cs="Times New Roman"/>
          <w:sz w:val="24"/>
        </w:rPr>
        <w:footnoteRef/>
      </w:r>
      <w:r w:rsidRPr="004C6D82">
        <w:rPr>
          <w:rFonts w:ascii="Times New Roman" w:hAnsi="Times New Roman" w:cs="Times New Roman"/>
          <w:sz w:val="24"/>
        </w:rPr>
        <w:t xml:space="preserve"> По данным управленческой отчетности</w:t>
      </w:r>
    </w:p>
  </w:footnote>
  <w:footnote w:id="9">
    <w:p w:rsidR="00A355A7" w:rsidRPr="00D744AC" w:rsidRDefault="00A355A7">
      <w:pPr>
        <w:pStyle w:val="a5"/>
        <w:rPr>
          <w:rFonts w:ascii="Arial" w:hAnsi="Arial" w:cs="Arial"/>
        </w:rPr>
      </w:pPr>
      <w:r w:rsidRPr="00D744AC">
        <w:rPr>
          <w:rFonts w:ascii="Arial" w:hAnsi="Arial" w:cs="Arial"/>
          <w:sz w:val="24"/>
        </w:rPr>
        <w:footnoteRef/>
      </w:r>
      <w:r w:rsidRPr="00D744AC">
        <w:rPr>
          <w:rFonts w:ascii="Arial" w:hAnsi="Arial" w:cs="Arial"/>
          <w:sz w:val="24"/>
        </w:rPr>
        <w:t xml:space="preserve"> без учета запасов по международным проектам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CB" w:rsidRPr="00B423AF" w:rsidRDefault="00FF68CB" w:rsidP="00B423AF">
    <w:pPr>
      <w:pStyle w:val="a9"/>
      <w:tabs>
        <w:tab w:val="left" w:pos="9355"/>
      </w:tabs>
      <w:rPr>
        <w:b/>
        <w:color w:val="FF0000"/>
      </w:rPr>
    </w:pPr>
    <w:r>
      <w:rPr>
        <w:b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D6E"/>
    <w:multiLevelType w:val="hybridMultilevel"/>
    <w:tmpl w:val="3C5885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0C96"/>
    <w:multiLevelType w:val="hybridMultilevel"/>
    <w:tmpl w:val="050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56871"/>
    <w:multiLevelType w:val="hybridMultilevel"/>
    <w:tmpl w:val="1A12A738"/>
    <w:lvl w:ilvl="0" w:tplc="7922A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63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E6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6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CC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C6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4C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47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96B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2C02DA"/>
    <w:multiLevelType w:val="hybridMultilevel"/>
    <w:tmpl w:val="2786CB6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2C47C31"/>
    <w:multiLevelType w:val="hybridMultilevel"/>
    <w:tmpl w:val="6FD6F466"/>
    <w:lvl w:ilvl="0" w:tplc="726622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EBA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BEF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AE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061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83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438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A9D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6D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23BC0"/>
    <w:multiLevelType w:val="hybridMultilevel"/>
    <w:tmpl w:val="CA7C9CC2"/>
    <w:lvl w:ilvl="0" w:tplc="041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 w15:restartNumberingAfterBreak="0">
    <w:nsid w:val="5D57291D"/>
    <w:multiLevelType w:val="hybridMultilevel"/>
    <w:tmpl w:val="E3920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44991"/>
    <w:multiLevelType w:val="hybridMultilevel"/>
    <w:tmpl w:val="EF40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87FD0"/>
    <w:multiLevelType w:val="hybridMultilevel"/>
    <w:tmpl w:val="5B4E16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6A2D0C91"/>
    <w:multiLevelType w:val="hybridMultilevel"/>
    <w:tmpl w:val="B068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27E50"/>
    <w:multiLevelType w:val="hybridMultilevel"/>
    <w:tmpl w:val="EF3C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10B5E"/>
    <w:multiLevelType w:val="hybridMultilevel"/>
    <w:tmpl w:val="7FF6A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FA"/>
    <w:rsid w:val="00000EB3"/>
    <w:rsid w:val="00003A20"/>
    <w:rsid w:val="000062E3"/>
    <w:rsid w:val="000243AF"/>
    <w:rsid w:val="000360E3"/>
    <w:rsid w:val="000377C5"/>
    <w:rsid w:val="0004402C"/>
    <w:rsid w:val="00051F11"/>
    <w:rsid w:val="00052436"/>
    <w:rsid w:val="00074375"/>
    <w:rsid w:val="0007621A"/>
    <w:rsid w:val="00077A6F"/>
    <w:rsid w:val="00093A13"/>
    <w:rsid w:val="00093D7F"/>
    <w:rsid w:val="000C7CD2"/>
    <w:rsid w:val="000E40F4"/>
    <w:rsid w:val="000E6196"/>
    <w:rsid w:val="000E6E84"/>
    <w:rsid w:val="00102E0E"/>
    <w:rsid w:val="00113572"/>
    <w:rsid w:val="00115A90"/>
    <w:rsid w:val="00117B0C"/>
    <w:rsid w:val="00130AC7"/>
    <w:rsid w:val="00135FAF"/>
    <w:rsid w:val="00137757"/>
    <w:rsid w:val="001378E3"/>
    <w:rsid w:val="00151C6A"/>
    <w:rsid w:val="001532E2"/>
    <w:rsid w:val="001541F6"/>
    <w:rsid w:val="00155D5B"/>
    <w:rsid w:val="00157349"/>
    <w:rsid w:val="001740C9"/>
    <w:rsid w:val="0017555D"/>
    <w:rsid w:val="00184054"/>
    <w:rsid w:val="001B5696"/>
    <w:rsid w:val="001B61E3"/>
    <w:rsid w:val="001D1034"/>
    <w:rsid w:val="001E251F"/>
    <w:rsid w:val="001F14D5"/>
    <w:rsid w:val="002013E8"/>
    <w:rsid w:val="00202185"/>
    <w:rsid w:val="00220290"/>
    <w:rsid w:val="002206B3"/>
    <w:rsid w:val="00222510"/>
    <w:rsid w:val="0024451B"/>
    <w:rsid w:val="00260E3B"/>
    <w:rsid w:val="0026648F"/>
    <w:rsid w:val="002672BE"/>
    <w:rsid w:val="00271BFD"/>
    <w:rsid w:val="00275DF4"/>
    <w:rsid w:val="002905E6"/>
    <w:rsid w:val="002916D1"/>
    <w:rsid w:val="002948F9"/>
    <w:rsid w:val="0029689F"/>
    <w:rsid w:val="002A7E67"/>
    <w:rsid w:val="002C1E3A"/>
    <w:rsid w:val="002C6017"/>
    <w:rsid w:val="002C62BF"/>
    <w:rsid w:val="002E0058"/>
    <w:rsid w:val="002E6A99"/>
    <w:rsid w:val="002F5E7D"/>
    <w:rsid w:val="00306698"/>
    <w:rsid w:val="00316276"/>
    <w:rsid w:val="0034120B"/>
    <w:rsid w:val="00344929"/>
    <w:rsid w:val="00345C36"/>
    <w:rsid w:val="00346E91"/>
    <w:rsid w:val="00362AC1"/>
    <w:rsid w:val="00364E5F"/>
    <w:rsid w:val="003674CD"/>
    <w:rsid w:val="003821CC"/>
    <w:rsid w:val="00386F73"/>
    <w:rsid w:val="003A4603"/>
    <w:rsid w:val="003A47CA"/>
    <w:rsid w:val="003A7BE5"/>
    <w:rsid w:val="003A7C3D"/>
    <w:rsid w:val="003B63DF"/>
    <w:rsid w:val="003B76F1"/>
    <w:rsid w:val="003C07E1"/>
    <w:rsid w:val="003D0D0D"/>
    <w:rsid w:val="003D508C"/>
    <w:rsid w:val="003D772F"/>
    <w:rsid w:val="003E00E3"/>
    <w:rsid w:val="003E34F7"/>
    <w:rsid w:val="003E563D"/>
    <w:rsid w:val="00401D17"/>
    <w:rsid w:val="004076A8"/>
    <w:rsid w:val="00412476"/>
    <w:rsid w:val="00422AE4"/>
    <w:rsid w:val="004408C5"/>
    <w:rsid w:val="004465C6"/>
    <w:rsid w:val="00451B57"/>
    <w:rsid w:val="00464567"/>
    <w:rsid w:val="004844C1"/>
    <w:rsid w:val="0048554C"/>
    <w:rsid w:val="00490A98"/>
    <w:rsid w:val="004C10A7"/>
    <w:rsid w:val="004C6C80"/>
    <w:rsid w:val="004C6D82"/>
    <w:rsid w:val="004C729E"/>
    <w:rsid w:val="004F7E03"/>
    <w:rsid w:val="00514DE0"/>
    <w:rsid w:val="00522A85"/>
    <w:rsid w:val="00525326"/>
    <w:rsid w:val="00530FE4"/>
    <w:rsid w:val="0054532C"/>
    <w:rsid w:val="00550C98"/>
    <w:rsid w:val="00561E5C"/>
    <w:rsid w:val="00585C4C"/>
    <w:rsid w:val="00591571"/>
    <w:rsid w:val="005A5C8D"/>
    <w:rsid w:val="005D1D36"/>
    <w:rsid w:val="005E480B"/>
    <w:rsid w:val="005E5BA7"/>
    <w:rsid w:val="00607829"/>
    <w:rsid w:val="00610FEF"/>
    <w:rsid w:val="00631A07"/>
    <w:rsid w:val="00634114"/>
    <w:rsid w:val="0063425F"/>
    <w:rsid w:val="00635A02"/>
    <w:rsid w:val="00637BF0"/>
    <w:rsid w:val="006439DA"/>
    <w:rsid w:val="006520EA"/>
    <w:rsid w:val="006614EE"/>
    <w:rsid w:val="006640B8"/>
    <w:rsid w:val="00665FB6"/>
    <w:rsid w:val="00675FF3"/>
    <w:rsid w:val="00684480"/>
    <w:rsid w:val="006877AD"/>
    <w:rsid w:val="00693FF8"/>
    <w:rsid w:val="006A368E"/>
    <w:rsid w:val="006A6D2F"/>
    <w:rsid w:val="006C1C7F"/>
    <w:rsid w:val="006E23A6"/>
    <w:rsid w:val="006E36E3"/>
    <w:rsid w:val="006F6F27"/>
    <w:rsid w:val="00715E2B"/>
    <w:rsid w:val="00724711"/>
    <w:rsid w:val="007263B0"/>
    <w:rsid w:val="00734939"/>
    <w:rsid w:val="00734AD1"/>
    <w:rsid w:val="00735100"/>
    <w:rsid w:val="00746898"/>
    <w:rsid w:val="0075024F"/>
    <w:rsid w:val="0075545D"/>
    <w:rsid w:val="00775050"/>
    <w:rsid w:val="00796512"/>
    <w:rsid w:val="007A2040"/>
    <w:rsid w:val="007A4BFE"/>
    <w:rsid w:val="007A7C7C"/>
    <w:rsid w:val="007B1CDB"/>
    <w:rsid w:val="007B6D99"/>
    <w:rsid w:val="007C0192"/>
    <w:rsid w:val="007C6F1A"/>
    <w:rsid w:val="007F1210"/>
    <w:rsid w:val="007F50B1"/>
    <w:rsid w:val="00800360"/>
    <w:rsid w:val="00801C3B"/>
    <w:rsid w:val="00802323"/>
    <w:rsid w:val="00813E93"/>
    <w:rsid w:val="00814327"/>
    <w:rsid w:val="00825E1D"/>
    <w:rsid w:val="008432A5"/>
    <w:rsid w:val="00843D92"/>
    <w:rsid w:val="008679B6"/>
    <w:rsid w:val="00881FC0"/>
    <w:rsid w:val="0088236F"/>
    <w:rsid w:val="00887FA6"/>
    <w:rsid w:val="0089724C"/>
    <w:rsid w:val="008973A7"/>
    <w:rsid w:val="0089744C"/>
    <w:rsid w:val="008E28D1"/>
    <w:rsid w:val="008E3780"/>
    <w:rsid w:val="009015F6"/>
    <w:rsid w:val="00907AF5"/>
    <w:rsid w:val="009104DD"/>
    <w:rsid w:val="009301DC"/>
    <w:rsid w:val="00941A06"/>
    <w:rsid w:val="0095040F"/>
    <w:rsid w:val="009725AF"/>
    <w:rsid w:val="009745F8"/>
    <w:rsid w:val="0097622D"/>
    <w:rsid w:val="00985345"/>
    <w:rsid w:val="00985C85"/>
    <w:rsid w:val="00990289"/>
    <w:rsid w:val="009B47AA"/>
    <w:rsid w:val="009B4E42"/>
    <w:rsid w:val="009B6B8C"/>
    <w:rsid w:val="009C41E8"/>
    <w:rsid w:val="009C534C"/>
    <w:rsid w:val="009C5F68"/>
    <w:rsid w:val="009D2BAB"/>
    <w:rsid w:val="009E2DF3"/>
    <w:rsid w:val="009E32E7"/>
    <w:rsid w:val="009E481F"/>
    <w:rsid w:val="009F134A"/>
    <w:rsid w:val="009F546C"/>
    <w:rsid w:val="00A06373"/>
    <w:rsid w:val="00A11B8A"/>
    <w:rsid w:val="00A134E4"/>
    <w:rsid w:val="00A21C33"/>
    <w:rsid w:val="00A249DC"/>
    <w:rsid w:val="00A35293"/>
    <w:rsid w:val="00A355A7"/>
    <w:rsid w:val="00A5191F"/>
    <w:rsid w:val="00A7418E"/>
    <w:rsid w:val="00A76AD7"/>
    <w:rsid w:val="00A81F53"/>
    <w:rsid w:val="00A85C90"/>
    <w:rsid w:val="00A97712"/>
    <w:rsid w:val="00AD62F9"/>
    <w:rsid w:val="00AE1E3D"/>
    <w:rsid w:val="00AE65FA"/>
    <w:rsid w:val="00AF5BEB"/>
    <w:rsid w:val="00B01B35"/>
    <w:rsid w:val="00B0277B"/>
    <w:rsid w:val="00B063BC"/>
    <w:rsid w:val="00B2509E"/>
    <w:rsid w:val="00B34130"/>
    <w:rsid w:val="00B414BA"/>
    <w:rsid w:val="00B423AF"/>
    <w:rsid w:val="00B55AA0"/>
    <w:rsid w:val="00B653FE"/>
    <w:rsid w:val="00B75739"/>
    <w:rsid w:val="00B77F7A"/>
    <w:rsid w:val="00B82193"/>
    <w:rsid w:val="00BB17D0"/>
    <w:rsid w:val="00BB39BE"/>
    <w:rsid w:val="00BE242E"/>
    <w:rsid w:val="00BF2D9C"/>
    <w:rsid w:val="00C00999"/>
    <w:rsid w:val="00C06B5D"/>
    <w:rsid w:val="00C1050C"/>
    <w:rsid w:val="00C1241F"/>
    <w:rsid w:val="00C25F86"/>
    <w:rsid w:val="00C3684C"/>
    <w:rsid w:val="00C56529"/>
    <w:rsid w:val="00C620BF"/>
    <w:rsid w:val="00C63C4E"/>
    <w:rsid w:val="00C71D60"/>
    <w:rsid w:val="00C727B8"/>
    <w:rsid w:val="00C74881"/>
    <w:rsid w:val="00C90F60"/>
    <w:rsid w:val="00C938DA"/>
    <w:rsid w:val="00CA0B82"/>
    <w:rsid w:val="00CC3155"/>
    <w:rsid w:val="00CD155B"/>
    <w:rsid w:val="00CF7E14"/>
    <w:rsid w:val="00D01350"/>
    <w:rsid w:val="00D06BC7"/>
    <w:rsid w:val="00D2685E"/>
    <w:rsid w:val="00D26FAE"/>
    <w:rsid w:val="00D375A7"/>
    <w:rsid w:val="00D40CF5"/>
    <w:rsid w:val="00D50654"/>
    <w:rsid w:val="00D564B8"/>
    <w:rsid w:val="00D564D4"/>
    <w:rsid w:val="00D744AC"/>
    <w:rsid w:val="00D76A21"/>
    <w:rsid w:val="00D85F57"/>
    <w:rsid w:val="00D942DB"/>
    <w:rsid w:val="00D9650C"/>
    <w:rsid w:val="00DA171E"/>
    <w:rsid w:val="00DA2028"/>
    <w:rsid w:val="00DB059E"/>
    <w:rsid w:val="00DB52B5"/>
    <w:rsid w:val="00DB58B8"/>
    <w:rsid w:val="00DC3005"/>
    <w:rsid w:val="00DC627D"/>
    <w:rsid w:val="00DC6AD4"/>
    <w:rsid w:val="00DD2009"/>
    <w:rsid w:val="00DD7363"/>
    <w:rsid w:val="00DE1826"/>
    <w:rsid w:val="00DF1B11"/>
    <w:rsid w:val="00E007BE"/>
    <w:rsid w:val="00E0209C"/>
    <w:rsid w:val="00E23AE9"/>
    <w:rsid w:val="00E23EB6"/>
    <w:rsid w:val="00E33CAD"/>
    <w:rsid w:val="00E36DEB"/>
    <w:rsid w:val="00E428F6"/>
    <w:rsid w:val="00E4587E"/>
    <w:rsid w:val="00E52F2C"/>
    <w:rsid w:val="00E55515"/>
    <w:rsid w:val="00E64F96"/>
    <w:rsid w:val="00E7102C"/>
    <w:rsid w:val="00EB32B9"/>
    <w:rsid w:val="00EB7931"/>
    <w:rsid w:val="00EC3916"/>
    <w:rsid w:val="00EC56A4"/>
    <w:rsid w:val="00ED2CF3"/>
    <w:rsid w:val="00ED5D48"/>
    <w:rsid w:val="00EF2EB7"/>
    <w:rsid w:val="00F02D0B"/>
    <w:rsid w:val="00F07260"/>
    <w:rsid w:val="00F22D57"/>
    <w:rsid w:val="00F319F4"/>
    <w:rsid w:val="00F3239F"/>
    <w:rsid w:val="00F42BB4"/>
    <w:rsid w:val="00F50B67"/>
    <w:rsid w:val="00F52F07"/>
    <w:rsid w:val="00F539E3"/>
    <w:rsid w:val="00FA74B5"/>
    <w:rsid w:val="00FB493B"/>
    <w:rsid w:val="00FB69DC"/>
    <w:rsid w:val="00FC18A9"/>
    <w:rsid w:val="00FD0347"/>
    <w:rsid w:val="00FD7713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68EF9-9087-4C45-9D36-A213DDAD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AE65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1">
    <w:name w:val="Таблица простая 31"/>
    <w:basedOn w:val="a1"/>
    <w:uiPriority w:val="43"/>
    <w:rsid w:val="00AE65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4">
    <w:name w:val="Hyperlink"/>
    <w:basedOn w:val="a0"/>
    <w:uiPriority w:val="99"/>
    <w:unhideWhenUsed/>
    <w:rsid w:val="00941A06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E182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E182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E1826"/>
    <w:rPr>
      <w:vertAlign w:val="superscript"/>
    </w:rPr>
  </w:style>
  <w:style w:type="paragraph" w:styleId="a8">
    <w:name w:val="List Paragraph"/>
    <w:basedOn w:val="a"/>
    <w:uiPriority w:val="34"/>
    <w:qFormat/>
    <w:rsid w:val="000E6196"/>
    <w:pPr>
      <w:ind w:left="720"/>
      <w:contextualSpacing/>
    </w:pPr>
  </w:style>
  <w:style w:type="paragraph" w:customStyle="1" w:styleId="Default">
    <w:name w:val="Default"/>
    <w:rsid w:val="00ED5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4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23AF"/>
  </w:style>
  <w:style w:type="paragraph" w:styleId="ab">
    <w:name w:val="footer"/>
    <w:basedOn w:val="a"/>
    <w:link w:val="ac"/>
    <w:uiPriority w:val="99"/>
    <w:unhideWhenUsed/>
    <w:rsid w:val="00B4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23AF"/>
  </w:style>
  <w:style w:type="paragraph" w:styleId="ad">
    <w:name w:val="Balloon Text"/>
    <w:basedOn w:val="a"/>
    <w:link w:val="ae"/>
    <w:uiPriority w:val="99"/>
    <w:semiHidden/>
    <w:unhideWhenUsed/>
    <w:rsid w:val="0000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3A20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5191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5191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5191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5191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5191F"/>
    <w:rPr>
      <w:b/>
      <w:bCs/>
      <w:sz w:val="20"/>
      <w:szCs w:val="20"/>
    </w:rPr>
  </w:style>
  <w:style w:type="character" w:styleId="af4">
    <w:name w:val="Strong"/>
    <w:basedOn w:val="a0"/>
    <w:uiPriority w:val="22"/>
    <w:qFormat/>
    <w:rsid w:val="009015F6"/>
    <w:rPr>
      <w:rFonts w:ascii="OpenSans-Bold" w:hAnsi="OpenSans-Bold" w:hint="default"/>
      <w:b w:val="0"/>
      <w:bCs w:val="0"/>
      <w:color w:val="666666"/>
    </w:rPr>
  </w:style>
  <w:style w:type="paragraph" w:styleId="af5">
    <w:name w:val="endnote text"/>
    <w:basedOn w:val="a"/>
    <w:link w:val="af6"/>
    <w:uiPriority w:val="99"/>
    <w:semiHidden/>
    <w:unhideWhenUsed/>
    <w:rsid w:val="00345C36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45C36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45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9193">
          <w:marLeft w:val="446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5522">
          <w:marLeft w:val="274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@russnef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@russ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ssneft.ru/shareholders/financial_stateme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6FE9-C1BF-45EB-8BEE-E7D13DF2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Ретивова Анна Валерьевна</dc:creator>
  <cp:lastModifiedBy>Татевосова Мария Рудольфовна</cp:lastModifiedBy>
  <cp:revision>2</cp:revision>
  <cp:lastPrinted>2018-08-29T09:55:00Z</cp:lastPrinted>
  <dcterms:created xsi:type="dcterms:W3CDTF">2018-08-29T11:11:00Z</dcterms:created>
  <dcterms:modified xsi:type="dcterms:W3CDTF">2018-08-29T11:11:00Z</dcterms:modified>
</cp:coreProperties>
</file>