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5F" w:rsidRDefault="00AE645F" w:rsidP="00AE645F">
      <w:pPr>
        <w:rPr>
          <w:rFonts w:eastAsia="Times New Roman"/>
        </w:rPr>
      </w:pPr>
      <w:bookmarkStart w:id="0" w:name="_GoBack"/>
      <w:bookmarkEnd w:id="0"/>
    </w:p>
    <w:p w:rsidR="00BA022E" w:rsidRPr="00F97496" w:rsidRDefault="00BA022E" w:rsidP="00BA022E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698C63D7" wp14:editId="49DF1934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BA022E" w:rsidRDefault="00BA022E" w:rsidP="00BA022E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BA022E" w:rsidRPr="00BD7716" w:rsidRDefault="00BA022E" w:rsidP="00BA022E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BA022E" w:rsidRPr="00DD6B32" w:rsidRDefault="00BA022E" w:rsidP="00BA022E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BA022E" w:rsidRPr="00DD6B32" w:rsidTr="00A52D9C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2E" w:rsidRPr="00DD6B32" w:rsidRDefault="00BA022E" w:rsidP="00A52D9C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BA022E" w:rsidRPr="00DD6B32" w:rsidRDefault="00BA022E" w:rsidP="00A52D9C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BA022E" w:rsidRPr="00DD6B32" w:rsidRDefault="00BA022E" w:rsidP="00A52D9C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BA022E" w:rsidRPr="00DD6B32" w:rsidRDefault="008870E7" w:rsidP="00A52D9C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BA022E" w:rsidRPr="00DD6B32">
                <w:rPr>
                  <w:rStyle w:val="a4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2E" w:rsidRPr="00DD6B32" w:rsidRDefault="00BA022E" w:rsidP="00A52D9C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BA022E" w:rsidRPr="00DD6B32" w:rsidRDefault="00BA022E" w:rsidP="00A52D9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BA022E" w:rsidRPr="00DD6B32" w:rsidRDefault="00BA022E" w:rsidP="00A52D9C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AE645F" w:rsidRDefault="00AE645F" w:rsidP="00AE645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AE645F" w:rsidRPr="00A84AC1" w:rsidRDefault="00A84AC1" w:rsidP="00AE645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</w:t>
      </w:r>
      <w:r w:rsidR="00BA022E">
        <w:rPr>
          <w:rFonts w:ascii="Arial" w:hAnsi="Arial"/>
          <w:b/>
          <w:snapToGrid w:val="0"/>
          <w:sz w:val="28"/>
          <w:szCs w:val="28"/>
          <w:lang w:val="en-US" w:eastAsia="en-US"/>
        </w:rPr>
        <w:t xml:space="preserve"> </w:t>
      </w: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-</w:t>
      </w:r>
      <w:r w:rsidR="00BA022E">
        <w:rPr>
          <w:rFonts w:ascii="Arial" w:hAnsi="Arial"/>
          <w:b/>
          <w:snapToGrid w:val="0"/>
          <w:sz w:val="28"/>
          <w:szCs w:val="28"/>
          <w:lang w:val="en-US" w:eastAsia="en-US"/>
        </w:rPr>
        <w:t xml:space="preserve"> </w:t>
      </w: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RELEASE</w:t>
      </w:r>
    </w:p>
    <w:p w:rsidR="00AE645F" w:rsidRPr="003646F2" w:rsidRDefault="00C0619C" w:rsidP="00C0619C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October</w:t>
      </w:r>
      <w:r w:rsidR="00A52D9C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12</w:t>
      </w:r>
      <w:r w:rsidR="00A84AC1">
        <w:rPr>
          <w:rFonts w:ascii="Arial" w:eastAsia="Times New Roman" w:hAnsi="Arial" w:cs="Arial"/>
          <w:b/>
          <w:color w:val="000000"/>
          <w:sz w:val="28"/>
          <w:szCs w:val="28"/>
        </w:rPr>
        <w:t xml:space="preserve">, </w:t>
      </w:r>
      <w:r w:rsidR="00AE645F" w:rsidRPr="003646F2">
        <w:rPr>
          <w:rFonts w:ascii="Arial" w:eastAsia="Times New Roman" w:hAnsi="Arial" w:cs="Arial"/>
          <w:b/>
          <w:color w:val="000000"/>
          <w:sz w:val="28"/>
          <w:szCs w:val="28"/>
        </w:rPr>
        <w:t>20</w:t>
      </w:r>
      <w:r w:rsidR="00AE645F">
        <w:rPr>
          <w:rFonts w:ascii="Arial" w:eastAsia="Times New Roman" w:hAnsi="Arial" w:cs="Arial"/>
          <w:b/>
          <w:color w:val="000000"/>
          <w:sz w:val="28"/>
          <w:szCs w:val="28"/>
        </w:rPr>
        <w:t>2</w:t>
      </w:r>
      <w:r w:rsidR="009C7917">
        <w:rPr>
          <w:rFonts w:ascii="Arial" w:eastAsia="Times New Roman" w:hAnsi="Arial" w:cs="Arial"/>
          <w:b/>
          <w:color w:val="000000"/>
          <w:sz w:val="28"/>
          <w:szCs w:val="28"/>
        </w:rPr>
        <w:t>1</w:t>
      </w:r>
      <w:r w:rsidR="00AE645F"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</w:p>
    <w:p w:rsidR="00C0619C" w:rsidRPr="00C0619C" w:rsidRDefault="009C7917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  <w:lang w:val="en"/>
        </w:rPr>
      </w:pPr>
      <w:proofErr w:type="spellStart"/>
      <w:r>
        <w:rPr>
          <w:rFonts w:eastAsia="Times New Roman"/>
          <w:b/>
          <w:color w:val="000000"/>
          <w:sz w:val="28"/>
          <w:szCs w:val="28"/>
          <w:shd w:val="clear" w:color="auto" w:fill="FFFFFF"/>
          <w:lang w:val="en-US"/>
        </w:rPr>
        <w:t>RussNeft</w:t>
      </w:r>
      <w:proofErr w:type="spellEnd"/>
      <w:r w:rsidRPr="003A6D05">
        <w:rPr>
          <w:rFonts w:eastAsia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A52D9C">
        <w:rPr>
          <w:rFonts w:eastAsia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continues </w:t>
      </w:r>
      <w:r w:rsidR="00C0619C" w:rsidRPr="00C0619C">
        <w:rPr>
          <w:rFonts w:eastAsia="Times New Roman"/>
          <w:b/>
          <w:color w:val="000000"/>
          <w:sz w:val="28"/>
          <w:szCs w:val="28"/>
          <w:shd w:val="clear" w:color="auto" w:fill="FFFFFF"/>
          <w:lang w:val="en"/>
        </w:rPr>
        <w:t xml:space="preserve">joint educational project with </w:t>
      </w:r>
      <w:proofErr w:type="spellStart"/>
      <w:r w:rsidR="00C0619C">
        <w:rPr>
          <w:rFonts w:eastAsia="Times New Roman"/>
          <w:b/>
          <w:color w:val="000000"/>
          <w:sz w:val="28"/>
          <w:szCs w:val="28"/>
          <w:shd w:val="clear" w:color="auto" w:fill="FFFFFF"/>
          <w:lang w:val="en"/>
        </w:rPr>
        <w:t>Gubkin</w:t>
      </w:r>
      <w:proofErr w:type="spellEnd"/>
      <w:r w:rsidR="00C0619C">
        <w:rPr>
          <w:rFonts w:eastAsia="Times New Roman"/>
          <w:b/>
          <w:color w:val="000000"/>
          <w:sz w:val="28"/>
          <w:szCs w:val="28"/>
          <w:shd w:val="clear" w:color="auto" w:fill="FFFFFF"/>
          <w:lang w:val="en"/>
        </w:rPr>
        <w:t xml:space="preserve"> </w:t>
      </w:r>
      <w:r w:rsidR="00C0619C" w:rsidRPr="00C0619C">
        <w:rPr>
          <w:rFonts w:eastAsia="Times New Roman"/>
          <w:b/>
          <w:color w:val="000000"/>
          <w:sz w:val="28"/>
          <w:szCs w:val="28"/>
          <w:shd w:val="clear" w:color="auto" w:fill="FFFFFF"/>
          <w:lang w:val="en"/>
        </w:rPr>
        <w:t xml:space="preserve">Russian </w:t>
      </w:r>
      <w:r w:rsidR="00C0619C">
        <w:rPr>
          <w:rFonts w:eastAsia="Times New Roman"/>
          <w:b/>
          <w:color w:val="000000"/>
          <w:sz w:val="28"/>
          <w:szCs w:val="28"/>
          <w:shd w:val="clear" w:color="auto" w:fill="FFFFFF"/>
          <w:lang w:val="en"/>
        </w:rPr>
        <w:t>State University of Oil and Gas</w:t>
      </w:r>
      <w:r w:rsidR="00C0619C"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  <w:t>RussNeft continues to implement a joint educational project with the Russian State University of Oil and Gas.</w:t>
      </w:r>
    </w:p>
    <w:p w:rsidR="00C0619C" w:rsidRPr="00C0619C" w:rsidRDefault="00C0619C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</w:pP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>«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РуссНефть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»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продолжает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реализацию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совместного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образовательного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проекта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с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Российским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государственным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университетом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нефти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и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газа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>.</w:t>
      </w:r>
    </w:p>
    <w:p w:rsidR="00C0619C" w:rsidRPr="00C0619C" w:rsidRDefault="00C0619C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</w:pP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  <w:t>RussNeft continues to implement a joint educational project with the Russian State University of Oil and Gas named after</w:t>
      </w:r>
    </w:p>
    <w:p w:rsidR="00C0619C" w:rsidRPr="00C0619C" w:rsidRDefault="00C0619C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</w:pP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>«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РуссНефть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»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продолжает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реализацию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совместного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образовательного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проекта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с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РГУ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нефти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и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газа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им</w:t>
      </w: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  <w:t>.</w:t>
      </w:r>
    </w:p>
    <w:p w:rsidR="00C0619C" w:rsidRPr="00C0619C" w:rsidRDefault="00C0619C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</w:pP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  <w:t>Не удалось загрузить все результаты.</w:t>
      </w:r>
    </w:p>
    <w:p w:rsidR="00C0619C" w:rsidRPr="00C0619C" w:rsidRDefault="00C0619C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</w:pP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  <w:t>Повторить</w:t>
      </w:r>
    </w:p>
    <w:p w:rsidR="00C0619C" w:rsidRPr="00C0619C" w:rsidRDefault="00C0619C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</w:pP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  <w:t>Повторная попытка…</w:t>
      </w:r>
    </w:p>
    <w:p w:rsidR="00C0619C" w:rsidRPr="00C0619C" w:rsidRDefault="00C0619C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</w:pP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  <w:t>Повторная попытка…</w:t>
      </w:r>
    </w:p>
    <w:p w:rsidR="00C0619C" w:rsidRPr="00C0619C" w:rsidRDefault="00C0619C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</w:pP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  <w:t>Gubkina</w:t>
      </w:r>
    </w:p>
    <w:p w:rsidR="00C0619C" w:rsidRPr="00C0619C" w:rsidRDefault="00C0619C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</w:pP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Губкина</w:t>
      </w:r>
    </w:p>
    <w:p w:rsidR="00C0619C" w:rsidRPr="00C0619C" w:rsidRDefault="00C0619C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</w:pP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  <w:t>Gubkin</w:t>
      </w:r>
    </w:p>
    <w:p w:rsidR="00C0619C" w:rsidRPr="00C0619C" w:rsidRDefault="00C0619C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-US"/>
        </w:rPr>
      </w:pP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</w:rPr>
        <w:t>Губкин</w:t>
      </w:r>
    </w:p>
    <w:p w:rsidR="00C0619C" w:rsidRPr="00C0619C" w:rsidRDefault="00C0619C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</w:pP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  <w:t>Не удалось загрузить все результаты.</w:t>
      </w:r>
    </w:p>
    <w:p w:rsidR="00C0619C" w:rsidRPr="00C0619C" w:rsidRDefault="00C0619C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</w:pP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  <w:t>Повторить</w:t>
      </w:r>
    </w:p>
    <w:p w:rsidR="00C0619C" w:rsidRPr="00C0619C" w:rsidRDefault="00C0619C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</w:pP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  <w:t>Повторная попытка…</w:t>
      </w:r>
    </w:p>
    <w:p w:rsidR="00C0619C" w:rsidRPr="00C0619C" w:rsidRDefault="00C0619C" w:rsidP="00C0619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</w:pPr>
      <w:r w:rsidRPr="00C0619C">
        <w:rPr>
          <w:rFonts w:eastAsia="Times New Roman"/>
          <w:b/>
          <w:vanish/>
          <w:color w:val="000000"/>
          <w:sz w:val="28"/>
          <w:szCs w:val="28"/>
          <w:shd w:val="clear" w:color="auto" w:fill="FFFFFF"/>
          <w:lang w:val="en"/>
        </w:rPr>
        <w:t>Повторная попытка…</w:t>
      </w:r>
    </w:p>
    <w:p w:rsidR="009C7917" w:rsidRPr="003A6D05" w:rsidRDefault="009C7917" w:rsidP="009C7917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color w:val="000000"/>
          <w:sz w:val="28"/>
          <w:szCs w:val="28"/>
          <w:lang w:val="en-US"/>
        </w:rPr>
      </w:pPr>
    </w:p>
    <w:p w:rsidR="009C7917" w:rsidRPr="003A6D05" w:rsidRDefault="009C7917" w:rsidP="009C79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</w:p>
    <w:p w:rsidR="009B004D" w:rsidRPr="009B004D" w:rsidRDefault="009B004D" w:rsidP="009B00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r w:rsidRPr="009B004D">
        <w:rPr>
          <w:rFonts w:eastAsia="Times New Roman"/>
          <w:color w:val="000000"/>
          <w:sz w:val="28"/>
          <w:szCs w:val="28"/>
          <w:lang w:val="en-US"/>
        </w:rPr>
        <w:t>PJSC “</w:t>
      </w:r>
      <w:proofErr w:type="spellStart"/>
      <w:r w:rsidRPr="009B004D">
        <w:rPr>
          <w:rFonts w:eastAsia="Times New Roman"/>
          <w:color w:val="000000"/>
          <w:sz w:val="28"/>
          <w:szCs w:val="28"/>
          <w:lang w:val="en-US"/>
        </w:rPr>
        <w:t>RussNeft</w:t>
      </w:r>
      <w:proofErr w:type="spellEnd"/>
      <w:r w:rsidRPr="009B004D">
        <w:rPr>
          <w:rFonts w:eastAsia="Times New Roman"/>
          <w:color w:val="000000"/>
          <w:sz w:val="28"/>
          <w:szCs w:val="28"/>
          <w:lang w:val="en-US"/>
        </w:rPr>
        <w:t xml:space="preserve">” continues to implement the joint educational project with the </w:t>
      </w:r>
      <w:proofErr w:type="spellStart"/>
      <w:r w:rsidRPr="009B004D">
        <w:rPr>
          <w:rFonts w:eastAsia="Times New Roman"/>
          <w:color w:val="000000"/>
          <w:sz w:val="28"/>
          <w:szCs w:val="28"/>
          <w:lang w:val="en-US"/>
        </w:rPr>
        <w:t>Gubkin</w:t>
      </w:r>
      <w:proofErr w:type="spellEnd"/>
      <w:r w:rsidRPr="009B004D">
        <w:rPr>
          <w:rFonts w:eastAsia="Times New Roman"/>
          <w:color w:val="000000"/>
          <w:sz w:val="28"/>
          <w:szCs w:val="28"/>
          <w:lang w:val="en-US"/>
        </w:rPr>
        <w:t xml:space="preserve"> Russian State University of Oil and Gas to prepare school students for the Unified State Exam and admission to universities.</w:t>
      </w:r>
    </w:p>
    <w:p w:rsidR="009B004D" w:rsidRPr="009B004D" w:rsidRDefault="009B004D" w:rsidP="009B00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r w:rsidRPr="009B004D">
        <w:rPr>
          <w:rFonts w:eastAsia="Times New Roman"/>
          <w:color w:val="000000"/>
          <w:sz w:val="28"/>
          <w:szCs w:val="28"/>
          <w:lang w:val="en-US"/>
        </w:rPr>
        <w:t xml:space="preserve">Future applicants will receive additional knowledge during regional preparatory courses (RPC), where </w:t>
      </w:r>
      <w:proofErr w:type="gramStart"/>
      <w:r w:rsidRPr="009B004D">
        <w:rPr>
          <w:rFonts w:eastAsia="Times New Roman"/>
          <w:color w:val="000000"/>
          <w:sz w:val="28"/>
          <w:szCs w:val="28"/>
          <w:lang w:val="en-US"/>
        </w:rPr>
        <w:t>classes are taught by university educators</w:t>
      </w:r>
      <w:proofErr w:type="gramEnd"/>
      <w:r w:rsidRPr="009B004D">
        <w:rPr>
          <w:rFonts w:eastAsia="Times New Roman"/>
          <w:color w:val="000000"/>
          <w:sz w:val="28"/>
          <w:szCs w:val="28"/>
          <w:lang w:val="en-US"/>
        </w:rPr>
        <w:t>.</w:t>
      </w:r>
    </w:p>
    <w:p w:rsidR="009B004D" w:rsidRPr="009B004D" w:rsidRDefault="009B004D" w:rsidP="009B00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r w:rsidRPr="009B004D">
        <w:rPr>
          <w:rFonts w:eastAsia="Times New Roman"/>
          <w:color w:val="000000"/>
          <w:sz w:val="28"/>
          <w:szCs w:val="28"/>
          <w:lang w:val="en-US"/>
        </w:rPr>
        <w:t xml:space="preserve">The </w:t>
      </w:r>
      <w:proofErr w:type="gramStart"/>
      <w:r w:rsidRPr="009B004D">
        <w:rPr>
          <w:rFonts w:eastAsia="Times New Roman"/>
          <w:color w:val="000000"/>
          <w:sz w:val="28"/>
          <w:szCs w:val="28"/>
          <w:lang w:val="en-US"/>
        </w:rPr>
        <w:t>joint project</w:t>
      </w:r>
      <w:r>
        <w:rPr>
          <w:rFonts w:eastAsia="Times New Roman"/>
          <w:color w:val="000000"/>
          <w:sz w:val="28"/>
          <w:szCs w:val="28"/>
          <w:lang w:val="en-US"/>
        </w:rPr>
        <w:t>,</w:t>
      </w:r>
      <w:r w:rsidRPr="009B004D">
        <w:rPr>
          <w:rFonts w:eastAsia="Times New Roman"/>
          <w:color w:val="000000"/>
          <w:sz w:val="28"/>
          <w:szCs w:val="28"/>
          <w:lang w:val="en-US"/>
        </w:rPr>
        <w:t xml:space="preserve"> being implemented since 2010</w:t>
      </w:r>
      <w:r>
        <w:rPr>
          <w:rFonts w:eastAsia="Times New Roman"/>
          <w:color w:val="000000"/>
          <w:sz w:val="28"/>
          <w:szCs w:val="28"/>
          <w:lang w:val="en-US"/>
        </w:rPr>
        <w:t>,</w:t>
      </w:r>
      <w:r w:rsidRPr="009B004D">
        <w:rPr>
          <w:rFonts w:eastAsia="Times New Roman"/>
          <w:color w:val="000000"/>
          <w:sz w:val="28"/>
          <w:szCs w:val="28"/>
          <w:lang w:val="en-US"/>
        </w:rPr>
        <w:t xml:space="preserve"> will be hosted by the Saratov and Nizhnevartovsk branches of </w:t>
      </w:r>
      <w:proofErr w:type="spellStart"/>
      <w:r w:rsidRPr="009B004D">
        <w:rPr>
          <w:rFonts w:eastAsia="Times New Roman"/>
          <w:color w:val="000000"/>
          <w:sz w:val="28"/>
          <w:szCs w:val="28"/>
          <w:lang w:val="en-US"/>
        </w:rPr>
        <w:t>RussNeft</w:t>
      </w:r>
      <w:proofErr w:type="spellEnd"/>
      <w:proofErr w:type="gramEnd"/>
      <w:r w:rsidRPr="009B004D">
        <w:rPr>
          <w:rFonts w:eastAsia="Times New Roman"/>
          <w:color w:val="000000"/>
          <w:sz w:val="28"/>
          <w:szCs w:val="28"/>
          <w:lang w:val="en-US"/>
        </w:rPr>
        <w:t>.</w:t>
      </w:r>
    </w:p>
    <w:p w:rsidR="00CF0984" w:rsidRPr="00A84AC1" w:rsidRDefault="009B004D" w:rsidP="009B00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sz w:val="28"/>
          <w:lang w:val="en-US"/>
        </w:rPr>
      </w:pPr>
      <w:r w:rsidRPr="009B004D">
        <w:rPr>
          <w:rFonts w:eastAsia="Times New Roman"/>
          <w:color w:val="000000"/>
          <w:sz w:val="28"/>
          <w:szCs w:val="28"/>
          <w:lang w:val="en-US"/>
        </w:rPr>
        <w:t xml:space="preserve">Following the tradition, in the 2021/2022 academic year, the RPC participants </w:t>
      </w:r>
      <w:proofErr w:type="gramStart"/>
      <w:r w:rsidRPr="009B004D">
        <w:rPr>
          <w:rFonts w:eastAsia="Times New Roman"/>
          <w:color w:val="000000"/>
          <w:sz w:val="28"/>
          <w:szCs w:val="28"/>
          <w:lang w:val="en-US"/>
        </w:rPr>
        <w:t>will be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 w:rsidRPr="009B004D">
        <w:rPr>
          <w:rFonts w:eastAsia="Times New Roman"/>
          <w:color w:val="000000"/>
          <w:sz w:val="28"/>
          <w:szCs w:val="28"/>
          <w:lang w:val="en-US"/>
        </w:rPr>
        <w:t>selected</w:t>
      </w:r>
      <w:proofErr w:type="gramEnd"/>
      <w:r w:rsidRPr="009B004D">
        <w:rPr>
          <w:rFonts w:eastAsia="Times New Roman"/>
          <w:color w:val="000000"/>
          <w:sz w:val="28"/>
          <w:szCs w:val="28"/>
          <w:lang w:val="en-US"/>
        </w:rPr>
        <w:t xml:space="preserve"> from among students of high schools and special educational institutions. Due to COVID-19 </w:t>
      </w:r>
      <w:r w:rsidRPr="009B004D">
        <w:rPr>
          <w:rFonts w:eastAsia="Times New Roman"/>
          <w:color w:val="000000"/>
          <w:sz w:val="28"/>
          <w:szCs w:val="28"/>
          <w:lang w:val="en-US"/>
        </w:rPr>
        <w:lastRenderedPageBreak/>
        <w:t xml:space="preserve">sanitary restrictions, the courses </w:t>
      </w:r>
      <w:proofErr w:type="gramStart"/>
      <w:r w:rsidRPr="009B004D">
        <w:rPr>
          <w:rFonts w:eastAsia="Times New Roman"/>
          <w:color w:val="000000"/>
          <w:sz w:val="28"/>
          <w:szCs w:val="28"/>
          <w:lang w:val="en-US"/>
        </w:rPr>
        <w:t>will be delivered</w:t>
      </w:r>
      <w:proofErr w:type="gramEnd"/>
      <w:r w:rsidRPr="009B004D">
        <w:rPr>
          <w:rFonts w:eastAsia="Times New Roman"/>
          <w:color w:val="000000"/>
          <w:sz w:val="28"/>
          <w:szCs w:val="28"/>
          <w:lang w:val="en-US"/>
        </w:rPr>
        <w:t xml:space="preserve"> online. Two sessions are scheduled</w:t>
      </w:r>
      <w:r w:rsidR="00B95075" w:rsidRPr="009B004D">
        <w:rPr>
          <w:rFonts w:eastAsia="Times New Roman"/>
          <w:color w:val="000000"/>
          <w:sz w:val="28"/>
          <w:szCs w:val="28"/>
          <w:lang w:val="en-US"/>
        </w:rPr>
        <w:t>.</w:t>
      </w:r>
    </w:p>
    <w:p w:rsidR="005D4655" w:rsidRPr="00A84AC1" w:rsidRDefault="005D4655" w:rsidP="005D4655">
      <w:pPr>
        <w:pStyle w:val="a3"/>
        <w:jc w:val="both"/>
        <w:rPr>
          <w:sz w:val="28"/>
          <w:lang w:val="en-US"/>
        </w:rPr>
      </w:pPr>
      <w:r w:rsidRPr="00A84AC1">
        <w:rPr>
          <w:sz w:val="28"/>
          <w:lang w:val="en-US"/>
        </w:rPr>
        <w:t xml:space="preserve">    </w:t>
      </w:r>
    </w:p>
    <w:p w:rsidR="00F822C8" w:rsidRPr="00A84AC1" w:rsidRDefault="00F822C8" w:rsidP="005D4655">
      <w:pPr>
        <w:pStyle w:val="a3"/>
        <w:jc w:val="both"/>
        <w:rPr>
          <w:b/>
          <w:color w:val="000000"/>
          <w:sz w:val="28"/>
          <w:szCs w:val="28"/>
          <w:shd w:val="clear" w:color="auto" w:fill="FFFFFF"/>
          <w:lang w:val="en-US"/>
        </w:rPr>
      </w:pPr>
    </w:p>
    <w:p w:rsidR="00A84AC1" w:rsidRPr="00A84AC1" w:rsidRDefault="00A84AC1" w:rsidP="00A84AC1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 w:rsidR="009C7917"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3C02F6" w:rsidRPr="003C02F6" w:rsidRDefault="003C02F6" w:rsidP="003C02F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</w:pPr>
      <w:r w:rsidRPr="003C02F6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3C02F6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3C02F6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ks among the Top 6</w:t>
      </w:r>
      <w:r w:rsidRPr="003C02F6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largest oil companies by crude oil production in Russia.</w:t>
      </w:r>
    </w:p>
    <w:p w:rsidR="003C02F6" w:rsidRPr="003C02F6" w:rsidRDefault="003C02F6" w:rsidP="003C02F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</w:pPr>
    </w:p>
    <w:p w:rsidR="003C02F6" w:rsidRPr="003C02F6" w:rsidRDefault="003C02F6" w:rsidP="003C02F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</w:pPr>
      <w:r w:rsidRPr="003C02F6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3C02F6" w:rsidRPr="003C02F6" w:rsidRDefault="003C02F6" w:rsidP="003C02F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</w:pPr>
    </w:p>
    <w:p w:rsidR="00A84AC1" w:rsidRPr="00A84AC1" w:rsidRDefault="003C02F6" w:rsidP="003C02F6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3C02F6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The Company's 2P reserves exceed 200 million </w:t>
      </w:r>
      <w:proofErr w:type="spellStart"/>
      <w:r w:rsidRPr="003C02F6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tonnes</w:t>
      </w:r>
      <w:proofErr w:type="spellEnd"/>
      <w:r w:rsidRPr="003C02F6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(SPE). The headcount of the Company is around 8,000 employees.</w:t>
      </w:r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C02F6" w:rsidTr="003C02F6">
        <w:tc>
          <w:tcPr>
            <w:tcW w:w="4672" w:type="dxa"/>
          </w:tcPr>
          <w:p w:rsidR="003C02F6" w:rsidRDefault="003C02F6" w:rsidP="00AE645F">
            <w:pPr>
              <w:rPr>
                <w:lang w:val="en-US"/>
              </w:rPr>
            </w:pPr>
          </w:p>
        </w:tc>
        <w:tc>
          <w:tcPr>
            <w:tcW w:w="4673" w:type="dxa"/>
          </w:tcPr>
          <w:p w:rsidR="003C02F6" w:rsidRPr="003C02F6" w:rsidRDefault="003C02F6" w:rsidP="003C02F6">
            <w:pPr>
              <w:rPr>
                <w:b/>
                <w:lang w:val="en-US"/>
              </w:rPr>
            </w:pPr>
            <w:r w:rsidRPr="003C02F6">
              <w:rPr>
                <w:b/>
                <w:lang w:val="en-US"/>
              </w:rPr>
              <w:t>Press Service of PJSC "</w:t>
            </w:r>
            <w:proofErr w:type="spellStart"/>
            <w:r w:rsidRPr="003C02F6">
              <w:rPr>
                <w:b/>
                <w:lang w:val="en-US"/>
              </w:rPr>
              <w:t>RussNeft</w:t>
            </w:r>
            <w:proofErr w:type="spellEnd"/>
            <w:r w:rsidRPr="003C02F6">
              <w:rPr>
                <w:b/>
                <w:lang w:val="en-US"/>
              </w:rPr>
              <w:t>"</w:t>
            </w:r>
          </w:p>
          <w:p w:rsidR="003C02F6" w:rsidRPr="003C02F6" w:rsidRDefault="003C02F6" w:rsidP="003C02F6">
            <w:pPr>
              <w:rPr>
                <w:b/>
                <w:lang w:val="en-US"/>
              </w:rPr>
            </w:pPr>
            <w:r w:rsidRPr="003C02F6">
              <w:rPr>
                <w:b/>
                <w:lang w:val="en-US"/>
              </w:rPr>
              <w:t>Phone: (495) 411-63-24</w:t>
            </w:r>
          </w:p>
          <w:p w:rsidR="003C02F6" w:rsidRPr="003C02F6" w:rsidRDefault="003C02F6" w:rsidP="003C02F6">
            <w:pPr>
              <w:rPr>
                <w:b/>
                <w:lang w:val="en-US"/>
              </w:rPr>
            </w:pPr>
            <w:r w:rsidRPr="003C02F6">
              <w:rPr>
                <w:b/>
                <w:lang w:val="en-US"/>
              </w:rPr>
              <w:t>Fax: (495) 411-63-19</w:t>
            </w:r>
          </w:p>
          <w:p w:rsidR="003C02F6" w:rsidRPr="003C02F6" w:rsidRDefault="003C02F6" w:rsidP="003C02F6">
            <w:pPr>
              <w:rPr>
                <w:b/>
                <w:lang w:val="en-US"/>
              </w:rPr>
            </w:pPr>
            <w:r w:rsidRPr="003C02F6">
              <w:rPr>
                <w:b/>
                <w:lang w:val="en-US"/>
              </w:rPr>
              <w:t>E-mail: pr@russneft.ru</w:t>
            </w:r>
          </w:p>
          <w:p w:rsidR="003C02F6" w:rsidRDefault="003C02F6" w:rsidP="00AE645F">
            <w:pPr>
              <w:rPr>
                <w:lang w:val="en-US"/>
              </w:rPr>
            </w:pPr>
          </w:p>
        </w:tc>
      </w:tr>
    </w:tbl>
    <w:p w:rsidR="00AE645F" w:rsidRPr="00A84AC1" w:rsidRDefault="00AE645F" w:rsidP="00AE645F">
      <w:pPr>
        <w:rPr>
          <w:lang w:val="en-US"/>
        </w:rPr>
      </w:pPr>
    </w:p>
    <w:p w:rsidR="00194B48" w:rsidRPr="00A84AC1" w:rsidRDefault="00194B48">
      <w:pPr>
        <w:rPr>
          <w:lang w:val="en-US"/>
        </w:rPr>
      </w:pPr>
    </w:p>
    <w:sectPr w:rsidR="00194B48" w:rsidRPr="00A8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5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0BF6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A67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87A1C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C78B0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AFA"/>
    <w:rsid w:val="00293BFC"/>
    <w:rsid w:val="00294485"/>
    <w:rsid w:val="002947B1"/>
    <w:rsid w:val="00294D2C"/>
    <w:rsid w:val="00294F51"/>
    <w:rsid w:val="002950B7"/>
    <w:rsid w:val="002952BC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2F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4B87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1A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718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1A6F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655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274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6E5"/>
    <w:rsid w:val="00671DDB"/>
    <w:rsid w:val="006721E5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76A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63B"/>
    <w:rsid w:val="006A2761"/>
    <w:rsid w:val="006A3AFD"/>
    <w:rsid w:val="006A4855"/>
    <w:rsid w:val="006A4B92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50E0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B35"/>
    <w:rsid w:val="00722D48"/>
    <w:rsid w:val="00723865"/>
    <w:rsid w:val="00724186"/>
    <w:rsid w:val="007241E0"/>
    <w:rsid w:val="0072445B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444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7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28F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4EB0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04D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917"/>
    <w:rsid w:val="009C7E0C"/>
    <w:rsid w:val="009C7F99"/>
    <w:rsid w:val="009D0803"/>
    <w:rsid w:val="009D0B83"/>
    <w:rsid w:val="009D0DCC"/>
    <w:rsid w:val="009D10F6"/>
    <w:rsid w:val="009D193B"/>
    <w:rsid w:val="009D1A01"/>
    <w:rsid w:val="009D1DA5"/>
    <w:rsid w:val="009D21BF"/>
    <w:rsid w:val="009D341C"/>
    <w:rsid w:val="009D3DB2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9C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66B5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4AC1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261"/>
    <w:rsid w:val="00AE3558"/>
    <w:rsid w:val="00AE5466"/>
    <w:rsid w:val="00AE6329"/>
    <w:rsid w:val="00AE645F"/>
    <w:rsid w:val="00AE6656"/>
    <w:rsid w:val="00AE6CA8"/>
    <w:rsid w:val="00AE6E3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6627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075"/>
    <w:rsid w:val="00B9524C"/>
    <w:rsid w:val="00B95AD6"/>
    <w:rsid w:val="00B95D41"/>
    <w:rsid w:val="00B9686C"/>
    <w:rsid w:val="00B976D0"/>
    <w:rsid w:val="00B979E2"/>
    <w:rsid w:val="00BA022E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156"/>
    <w:rsid w:val="00BF29D1"/>
    <w:rsid w:val="00BF2D27"/>
    <w:rsid w:val="00BF2D81"/>
    <w:rsid w:val="00BF2FCF"/>
    <w:rsid w:val="00BF30AF"/>
    <w:rsid w:val="00BF3658"/>
    <w:rsid w:val="00BF3C50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19C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69DB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984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0CE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751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B1A"/>
    <w:rsid w:val="00E30C3F"/>
    <w:rsid w:val="00E30FBC"/>
    <w:rsid w:val="00E31277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752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C1B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B18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6C11"/>
    <w:rsid w:val="00F26E9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3E0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22C8"/>
    <w:rsid w:val="00F8349A"/>
    <w:rsid w:val="00F837AB"/>
    <w:rsid w:val="00F83B20"/>
    <w:rsid w:val="00F848F9"/>
    <w:rsid w:val="00F8540F"/>
    <w:rsid w:val="00F854F1"/>
    <w:rsid w:val="00F85CE8"/>
    <w:rsid w:val="00F863FA"/>
    <w:rsid w:val="00F86E64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B9669-8A0E-4F97-B2FD-CC5AF2E8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84AC1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45F"/>
    <w:pPr>
      <w:spacing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rsid w:val="00A84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AC1"/>
    <w:rPr>
      <w:color w:val="0000FF"/>
      <w:u w:val="single"/>
    </w:rPr>
  </w:style>
  <w:style w:type="table" w:styleId="a5">
    <w:name w:val="Table Grid"/>
    <w:basedOn w:val="a1"/>
    <w:uiPriority w:val="59"/>
    <w:rsid w:val="003C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5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6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60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1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0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72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03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179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1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171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72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751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98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29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50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39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87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42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5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32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928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85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36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09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64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40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10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59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467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28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9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9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85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075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4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13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61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198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848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01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75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65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326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34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58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78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0185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61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96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874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533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7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0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9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923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2021-10-12T15:28:00Z</dcterms:created>
  <dcterms:modified xsi:type="dcterms:W3CDTF">2021-10-12T15:28:00Z</dcterms:modified>
</cp:coreProperties>
</file>