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14EC2" w14:textId="77777777" w:rsidR="003E35C9" w:rsidRDefault="00277DF0">
      <w:pPr>
        <w:pStyle w:val="a3"/>
        <w:spacing w:before="63" w:line="207" w:lineRule="exact"/>
        <w:ind w:left="137"/>
      </w:pPr>
      <w:r>
        <w:rPr>
          <w:spacing w:val="-2"/>
        </w:rPr>
        <w:t>Сообщение</w:t>
      </w:r>
    </w:p>
    <w:p w14:paraId="69971F8C" w14:textId="6F7E3C81" w:rsidR="003E35C9" w:rsidRDefault="00277DF0">
      <w:pPr>
        <w:pStyle w:val="a3"/>
      </w:pPr>
      <w:r>
        <w:t>«О</w:t>
      </w:r>
      <w:r>
        <w:rPr>
          <w:spacing w:val="-4"/>
        </w:rPr>
        <w:t xml:space="preserve"> </w:t>
      </w:r>
      <w:r>
        <w:t>созыве</w:t>
      </w:r>
      <w:r>
        <w:rPr>
          <w:spacing w:val="-4"/>
        </w:rPr>
        <w:t xml:space="preserve"> </w:t>
      </w:r>
      <w:r>
        <w:t>и</w:t>
      </w:r>
      <w:r>
        <w:rPr>
          <w:spacing w:val="-4"/>
        </w:rPr>
        <w:t xml:space="preserve"> </w:t>
      </w:r>
      <w:r>
        <w:t>проведении</w:t>
      </w:r>
      <w:r>
        <w:rPr>
          <w:spacing w:val="-4"/>
        </w:rPr>
        <w:t xml:space="preserve"> </w:t>
      </w:r>
      <w:r>
        <w:t>общего</w:t>
      </w:r>
      <w:r>
        <w:rPr>
          <w:spacing w:val="-4"/>
        </w:rPr>
        <w:t xml:space="preserve"> </w:t>
      </w:r>
      <w:r>
        <w:t>собрания</w:t>
      </w:r>
      <w:r>
        <w:rPr>
          <w:spacing w:val="-3"/>
        </w:rPr>
        <w:t xml:space="preserve"> </w:t>
      </w:r>
      <w:r>
        <w:t>участников</w:t>
      </w:r>
      <w:r>
        <w:rPr>
          <w:spacing w:val="-3"/>
        </w:rPr>
        <w:t xml:space="preserve"> </w:t>
      </w:r>
      <w:r>
        <w:t>(акционеров)</w:t>
      </w:r>
      <w:r>
        <w:rPr>
          <w:spacing w:val="-4"/>
        </w:rPr>
        <w:t xml:space="preserve"> </w:t>
      </w:r>
      <w:r>
        <w:t>эмитента,</w:t>
      </w:r>
      <w:r>
        <w:rPr>
          <w:spacing w:val="-4"/>
        </w:rPr>
        <w:t xml:space="preserve"> </w:t>
      </w:r>
      <w:r>
        <w:t>об</w:t>
      </w:r>
      <w:r>
        <w:rPr>
          <w:spacing w:val="-3"/>
        </w:rPr>
        <w:t xml:space="preserve"> </w:t>
      </w:r>
      <w:r>
        <w:t>объявлении</w:t>
      </w:r>
      <w:r>
        <w:rPr>
          <w:spacing w:val="-4"/>
        </w:rPr>
        <w:t xml:space="preserve"> </w:t>
      </w:r>
      <w:r>
        <w:t>общего</w:t>
      </w:r>
      <w:r>
        <w:rPr>
          <w:spacing w:val="-4"/>
        </w:rPr>
        <w:t xml:space="preserve"> </w:t>
      </w:r>
      <w:r>
        <w:t>собрания</w:t>
      </w:r>
      <w:r>
        <w:rPr>
          <w:spacing w:val="-4"/>
        </w:rPr>
        <w:t xml:space="preserve"> </w:t>
      </w:r>
      <w:r>
        <w:t>участников (акционеров) эмитента несостоявшимся, а также о решениях, принятых общим собранием участников (акционеров) эмитента или единственным участником (лицом, которому принадлежат все голосующие акции) эмитента»</w:t>
      </w:r>
    </w:p>
    <w:p w14:paraId="58E4142D" w14:textId="77777777" w:rsidR="008652D0" w:rsidRDefault="008652D0">
      <w:pPr>
        <w:pStyle w:val="a3"/>
      </w:pPr>
    </w:p>
    <w:tbl>
      <w:tblPr>
        <w:tblStyle w:val="TableNormal"/>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245"/>
        <w:gridCol w:w="5528"/>
      </w:tblGrid>
      <w:tr w:rsidR="003E35C9" w14:paraId="195C7E35" w14:textId="77777777" w:rsidTr="008652D0">
        <w:trPr>
          <w:cantSplit/>
          <w:trHeight w:val="208"/>
        </w:trPr>
        <w:tc>
          <w:tcPr>
            <w:tcW w:w="10773" w:type="dxa"/>
            <w:gridSpan w:val="2"/>
          </w:tcPr>
          <w:p w14:paraId="65A22B1A" w14:textId="77777777" w:rsidR="003E35C9" w:rsidRDefault="00277DF0">
            <w:pPr>
              <w:pStyle w:val="TableParagraph"/>
              <w:spacing w:line="188" w:lineRule="exact"/>
              <w:ind w:left="4531"/>
              <w:rPr>
                <w:sz w:val="18"/>
              </w:rPr>
            </w:pPr>
            <w:r>
              <w:rPr>
                <w:sz w:val="18"/>
              </w:rPr>
              <w:t>1. Общие</w:t>
            </w:r>
            <w:r>
              <w:rPr>
                <w:spacing w:val="-1"/>
                <w:sz w:val="18"/>
              </w:rPr>
              <w:t xml:space="preserve"> </w:t>
            </w:r>
            <w:r>
              <w:rPr>
                <w:spacing w:val="-2"/>
                <w:sz w:val="18"/>
              </w:rPr>
              <w:t>сведения</w:t>
            </w:r>
          </w:p>
        </w:tc>
      </w:tr>
      <w:tr w:rsidR="002A6A59" w14:paraId="1DCC9168" w14:textId="77777777" w:rsidTr="008652D0">
        <w:trPr>
          <w:cantSplit/>
          <w:trHeight w:val="205"/>
        </w:trPr>
        <w:tc>
          <w:tcPr>
            <w:tcW w:w="5245" w:type="dxa"/>
          </w:tcPr>
          <w:p w14:paraId="0C62711A" w14:textId="77777777" w:rsidR="002A6A59" w:rsidRDefault="002A6A59" w:rsidP="004A1205">
            <w:pPr>
              <w:pStyle w:val="TableParagraph"/>
              <w:rPr>
                <w:sz w:val="18"/>
              </w:rPr>
            </w:pPr>
            <w:r>
              <w:rPr>
                <w:sz w:val="18"/>
              </w:rPr>
              <w:t>1.1.</w:t>
            </w:r>
            <w:r>
              <w:rPr>
                <w:spacing w:val="-6"/>
                <w:sz w:val="18"/>
              </w:rPr>
              <w:t xml:space="preserve"> </w:t>
            </w:r>
            <w:r>
              <w:rPr>
                <w:sz w:val="18"/>
              </w:rPr>
              <w:t>Полное</w:t>
            </w:r>
            <w:r>
              <w:rPr>
                <w:spacing w:val="-4"/>
                <w:sz w:val="18"/>
              </w:rPr>
              <w:t xml:space="preserve"> </w:t>
            </w:r>
            <w:r>
              <w:rPr>
                <w:sz w:val="18"/>
              </w:rPr>
              <w:t>фирменное</w:t>
            </w:r>
            <w:r>
              <w:rPr>
                <w:spacing w:val="-4"/>
                <w:sz w:val="18"/>
              </w:rPr>
              <w:t xml:space="preserve"> </w:t>
            </w:r>
            <w:r>
              <w:rPr>
                <w:sz w:val="18"/>
              </w:rPr>
              <w:t>наименование</w:t>
            </w:r>
            <w:r>
              <w:rPr>
                <w:spacing w:val="-4"/>
                <w:sz w:val="18"/>
              </w:rPr>
              <w:t xml:space="preserve"> </w:t>
            </w:r>
            <w:r>
              <w:rPr>
                <w:spacing w:val="-2"/>
                <w:sz w:val="18"/>
              </w:rPr>
              <w:t>эмитента</w:t>
            </w:r>
          </w:p>
        </w:tc>
        <w:tc>
          <w:tcPr>
            <w:tcW w:w="5528" w:type="dxa"/>
          </w:tcPr>
          <w:p w14:paraId="3799AE9D" w14:textId="00C670D5" w:rsidR="002A6A59" w:rsidRPr="00E9630B" w:rsidRDefault="002A6A59" w:rsidP="004A1205">
            <w:pPr>
              <w:pStyle w:val="TableParagraph"/>
              <w:ind w:left="119"/>
              <w:jc w:val="center"/>
              <w:rPr>
                <w:b/>
                <w:i/>
                <w:sz w:val="24"/>
                <w:szCs w:val="24"/>
              </w:rPr>
            </w:pPr>
            <w:r w:rsidRPr="00E9630B">
              <w:rPr>
                <w:b/>
                <w:bCs/>
                <w:i/>
                <w:iCs/>
                <w:sz w:val="24"/>
                <w:szCs w:val="24"/>
              </w:rPr>
              <w:t>Публичное акционерное общество Нефтегазовая компания "РуссНефть"</w:t>
            </w:r>
          </w:p>
        </w:tc>
      </w:tr>
      <w:tr w:rsidR="002A6A59" w14:paraId="2D3231A3" w14:textId="77777777" w:rsidTr="008652D0">
        <w:trPr>
          <w:cantSplit/>
          <w:trHeight w:val="621"/>
        </w:trPr>
        <w:tc>
          <w:tcPr>
            <w:tcW w:w="5245" w:type="dxa"/>
          </w:tcPr>
          <w:p w14:paraId="4BF30A7D" w14:textId="77777777" w:rsidR="002A6A59" w:rsidRDefault="002A6A59" w:rsidP="004A1205">
            <w:pPr>
              <w:pStyle w:val="TableParagraph"/>
              <w:spacing w:before="98"/>
              <w:rPr>
                <w:sz w:val="18"/>
              </w:rPr>
            </w:pPr>
            <w:r>
              <w:rPr>
                <w:sz w:val="18"/>
              </w:rPr>
              <w:t>1.2.</w:t>
            </w:r>
            <w:r>
              <w:rPr>
                <w:spacing w:val="-9"/>
                <w:sz w:val="18"/>
              </w:rPr>
              <w:t xml:space="preserve"> </w:t>
            </w:r>
            <w:r>
              <w:rPr>
                <w:sz w:val="18"/>
              </w:rPr>
              <w:t>Адрес</w:t>
            </w:r>
            <w:r>
              <w:rPr>
                <w:spacing w:val="-8"/>
                <w:sz w:val="18"/>
              </w:rPr>
              <w:t xml:space="preserve"> </w:t>
            </w:r>
            <w:r>
              <w:rPr>
                <w:sz w:val="18"/>
              </w:rPr>
              <w:t>эмитента,</w:t>
            </w:r>
            <w:r>
              <w:rPr>
                <w:spacing w:val="-5"/>
                <w:sz w:val="18"/>
              </w:rPr>
              <w:t xml:space="preserve"> </w:t>
            </w:r>
            <w:r>
              <w:rPr>
                <w:sz w:val="18"/>
              </w:rPr>
              <w:t>указанный</w:t>
            </w:r>
            <w:r>
              <w:rPr>
                <w:spacing w:val="-6"/>
                <w:sz w:val="18"/>
              </w:rPr>
              <w:t xml:space="preserve"> </w:t>
            </w:r>
            <w:r>
              <w:rPr>
                <w:sz w:val="18"/>
              </w:rPr>
              <w:t>в</w:t>
            </w:r>
            <w:r>
              <w:rPr>
                <w:spacing w:val="-8"/>
                <w:sz w:val="18"/>
              </w:rPr>
              <w:t xml:space="preserve"> </w:t>
            </w:r>
            <w:r>
              <w:rPr>
                <w:sz w:val="18"/>
              </w:rPr>
              <w:t>едином</w:t>
            </w:r>
            <w:r>
              <w:rPr>
                <w:spacing w:val="-8"/>
                <w:sz w:val="18"/>
              </w:rPr>
              <w:t xml:space="preserve"> </w:t>
            </w:r>
            <w:r>
              <w:rPr>
                <w:sz w:val="18"/>
              </w:rPr>
              <w:t>государственном реестре юридических лиц</w:t>
            </w:r>
          </w:p>
        </w:tc>
        <w:tc>
          <w:tcPr>
            <w:tcW w:w="5528" w:type="dxa"/>
          </w:tcPr>
          <w:p w14:paraId="2AE84F2D" w14:textId="47912B01" w:rsidR="002A6A59" w:rsidRPr="00E9630B" w:rsidRDefault="002A6A59" w:rsidP="004A1205">
            <w:pPr>
              <w:pStyle w:val="TableParagraph"/>
              <w:spacing w:before="1"/>
              <w:ind w:left="112"/>
              <w:jc w:val="center"/>
              <w:rPr>
                <w:b/>
                <w:i/>
                <w:sz w:val="24"/>
                <w:szCs w:val="24"/>
              </w:rPr>
            </w:pPr>
            <w:r w:rsidRPr="00E9630B">
              <w:rPr>
                <w:b/>
                <w:bCs/>
                <w:i/>
                <w:iCs/>
                <w:sz w:val="24"/>
                <w:szCs w:val="24"/>
              </w:rPr>
              <w:t>115054, г. Москва, ул. Пятницкая, д. 69</w:t>
            </w:r>
          </w:p>
        </w:tc>
      </w:tr>
      <w:tr w:rsidR="002A6A59" w14:paraId="6C65200E" w14:textId="77777777" w:rsidTr="008652D0">
        <w:trPr>
          <w:cantSplit/>
          <w:trHeight w:val="64"/>
        </w:trPr>
        <w:tc>
          <w:tcPr>
            <w:tcW w:w="5245" w:type="dxa"/>
          </w:tcPr>
          <w:p w14:paraId="18D8F8D9" w14:textId="576DA87A" w:rsidR="002A6A59" w:rsidRDefault="002A6A59" w:rsidP="004A1205">
            <w:pPr>
              <w:pStyle w:val="TableParagraph"/>
              <w:rPr>
                <w:sz w:val="18"/>
              </w:rPr>
            </w:pPr>
            <w:r>
              <w:rPr>
                <w:sz w:val="18"/>
              </w:rPr>
              <w:t>1.3.</w:t>
            </w:r>
            <w:r>
              <w:rPr>
                <w:spacing w:val="-6"/>
                <w:sz w:val="18"/>
              </w:rPr>
              <w:t xml:space="preserve"> </w:t>
            </w:r>
            <w:r>
              <w:rPr>
                <w:sz w:val="18"/>
              </w:rPr>
              <w:t>Основной</w:t>
            </w:r>
            <w:r>
              <w:rPr>
                <w:spacing w:val="-5"/>
                <w:sz w:val="18"/>
              </w:rPr>
              <w:t xml:space="preserve"> </w:t>
            </w:r>
            <w:r>
              <w:rPr>
                <w:sz w:val="18"/>
              </w:rPr>
              <w:t>государственный</w:t>
            </w:r>
            <w:r>
              <w:rPr>
                <w:spacing w:val="-3"/>
                <w:sz w:val="18"/>
              </w:rPr>
              <w:t xml:space="preserve"> </w:t>
            </w:r>
            <w:r>
              <w:rPr>
                <w:sz w:val="18"/>
              </w:rPr>
              <w:t>регистрационный</w:t>
            </w:r>
            <w:r>
              <w:rPr>
                <w:spacing w:val="-4"/>
                <w:sz w:val="18"/>
              </w:rPr>
              <w:t xml:space="preserve"> номер </w:t>
            </w:r>
            <w:r>
              <w:rPr>
                <w:sz w:val="18"/>
              </w:rPr>
              <w:t>(ОГРН)</w:t>
            </w:r>
            <w:r>
              <w:rPr>
                <w:spacing w:val="-2"/>
                <w:sz w:val="18"/>
              </w:rPr>
              <w:t xml:space="preserve"> эмитента</w:t>
            </w:r>
          </w:p>
        </w:tc>
        <w:tc>
          <w:tcPr>
            <w:tcW w:w="5528" w:type="dxa"/>
          </w:tcPr>
          <w:p w14:paraId="56CF5E65" w14:textId="523C2065" w:rsidR="002A6A59" w:rsidRPr="00E9630B" w:rsidRDefault="002A6A59" w:rsidP="004A1205">
            <w:pPr>
              <w:pStyle w:val="TableParagraph"/>
              <w:spacing w:before="103"/>
              <w:ind w:left="112"/>
              <w:jc w:val="center"/>
              <w:rPr>
                <w:b/>
                <w:i/>
                <w:sz w:val="24"/>
                <w:szCs w:val="24"/>
              </w:rPr>
            </w:pPr>
            <w:r w:rsidRPr="00E9630B">
              <w:rPr>
                <w:b/>
                <w:bCs/>
                <w:i/>
                <w:iCs/>
                <w:sz w:val="24"/>
                <w:szCs w:val="24"/>
              </w:rPr>
              <w:t>1027717003467</w:t>
            </w:r>
          </w:p>
        </w:tc>
      </w:tr>
      <w:tr w:rsidR="002A6A59" w14:paraId="3857BE50" w14:textId="77777777" w:rsidTr="008652D0">
        <w:trPr>
          <w:cantSplit/>
          <w:trHeight w:val="64"/>
        </w:trPr>
        <w:tc>
          <w:tcPr>
            <w:tcW w:w="5245" w:type="dxa"/>
          </w:tcPr>
          <w:p w14:paraId="501F6B56" w14:textId="0AC24834" w:rsidR="002A6A59" w:rsidRDefault="002A6A59" w:rsidP="004A1205">
            <w:pPr>
              <w:pStyle w:val="TableParagraph"/>
              <w:rPr>
                <w:sz w:val="18"/>
              </w:rPr>
            </w:pPr>
            <w:r>
              <w:rPr>
                <w:sz w:val="18"/>
              </w:rPr>
              <w:t>1.4.</w:t>
            </w:r>
            <w:r>
              <w:rPr>
                <w:spacing w:val="-6"/>
                <w:sz w:val="18"/>
              </w:rPr>
              <w:t xml:space="preserve"> </w:t>
            </w:r>
            <w:r>
              <w:rPr>
                <w:sz w:val="18"/>
              </w:rPr>
              <w:t>Идентификационный</w:t>
            </w:r>
            <w:r>
              <w:rPr>
                <w:spacing w:val="-4"/>
                <w:sz w:val="18"/>
              </w:rPr>
              <w:t xml:space="preserve"> </w:t>
            </w:r>
            <w:r>
              <w:rPr>
                <w:sz w:val="18"/>
              </w:rPr>
              <w:t>номер</w:t>
            </w:r>
            <w:r>
              <w:rPr>
                <w:spacing w:val="-2"/>
                <w:sz w:val="18"/>
              </w:rPr>
              <w:t xml:space="preserve"> </w:t>
            </w:r>
            <w:r>
              <w:rPr>
                <w:sz w:val="18"/>
              </w:rPr>
              <w:t>налогоплательщика</w:t>
            </w:r>
            <w:r>
              <w:rPr>
                <w:spacing w:val="-4"/>
                <w:sz w:val="18"/>
              </w:rPr>
              <w:t xml:space="preserve"> </w:t>
            </w:r>
            <w:r>
              <w:rPr>
                <w:spacing w:val="-2"/>
                <w:sz w:val="18"/>
              </w:rPr>
              <w:t>(ИНН) эмитента</w:t>
            </w:r>
          </w:p>
        </w:tc>
        <w:tc>
          <w:tcPr>
            <w:tcW w:w="5528" w:type="dxa"/>
          </w:tcPr>
          <w:p w14:paraId="6065B182" w14:textId="711B787B" w:rsidR="002A6A59" w:rsidRPr="00E9630B" w:rsidRDefault="002A6A59" w:rsidP="004A1205">
            <w:pPr>
              <w:pStyle w:val="TableParagraph"/>
              <w:spacing w:before="103"/>
              <w:ind w:left="112"/>
              <w:jc w:val="center"/>
              <w:rPr>
                <w:b/>
                <w:i/>
                <w:sz w:val="24"/>
                <w:szCs w:val="24"/>
              </w:rPr>
            </w:pPr>
            <w:r w:rsidRPr="00E9630B">
              <w:rPr>
                <w:b/>
                <w:bCs/>
                <w:i/>
                <w:iCs/>
                <w:sz w:val="24"/>
                <w:szCs w:val="24"/>
              </w:rPr>
              <w:t>7717133960</w:t>
            </w:r>
          </w:p>
        </w:tc>
      </w:tr>
      <w:tr w:rsidR="002A6A59" w14:paraId="07919FB1" w14:textId="77777777" w:rsidTr="008652D0">
        <w:trPr>
          <w:cantSplit/>
          <w:trHeight w:val="414"/>
        </w:trPr>
        <w:tc>
          <w:tcPr>
            <w:tcW w:w="5245" w:type="dxa"/>
          </w:tcPr>
          <w:p w14:paraId="192CE718" w14:textId="77777777" w:rsidR="002A6A59" w:rsidRDefault="002A6A59" w:rsidP="004A1205">
            <w:pPr>
              <w:pStyle w:val="TableParagraph"/>
              <w:rPr>
                <w:sz w:val="18"/>
              </w:rPr>
            </w:pPr>
            <w:r>
              <w:rPr>
                <w:sz w:val="18"/>
              </w:rPr>
              <w:t>1.5.</w:t>
            </w:r>
            <w:r>
              <w:rPr>
                <w:spacing w:val="-6"/>
                <w:sz w:val="18"/>
              </w:rPr>
              <w:t xml:space="preserve"> </w:t>
            </w:r>
            <w:r>
              <w:rPr>
                <w:sz w:val="18"/>
              </w:rPr>
              <w:t>Уникальный</w:t>
            </w:r>
            <w:r>
              <w:rPr>
                <w:spacing w:val="-4"/>
                <w:sz w:val="18"/>
              </w:rPr>
              <w:t xml:space="preserve"> </w:t>
            </w:r>
            <w:r>
              <w:rPr>
                <w:sz w:val="18"/>
              </w:rPr>
              <w:t>код</w:t>
            </w:r>
            <w:r>
              <w:rPr>
                <w:spacing w:val="-4"/>
                <w:sz w:val="18"/>
              </w:rPr>
              <w:t xml:space="preserve"> </w:t>
            </w:r>
            <w:r>
              <w:rPr>
                <w:sz w:val="18"/>
              </w:rPr>
              <w:t>эмитента,</w:t>
            </w:r>
            <w:r>
              <w:rPr>
                <w:spacing w:val="-1"/>
                <w:sz w:val="18"/>
              </w:rPr>
              <w:t xml:space="preserve"> </w:t>
            </w:r>
            <w:r>
              <w:rPr>
                <w:sz w:val="18"/>
              </w:rPr>
              <w:t>присвоенный</w:t>
            </w:r>
            <w:r>
              <w:rPr>
                <w:spacing w:val="-4"/>
                <w:sz w:val="18"/>
              </w:rPr>
              <w:t xml:space="preserve"> </w:t>
            </w:r>
            <w:r>
              <w:rPr>
                <w:spacing w:val="-2"/>
                <w:sz w:val="18"/>
              </w:rPr>
              <w:t>Банком</w:t>
            </w:r>
          </w:p>
          <w:p w14:paraId="6AAA4A00" w14:textId="77777777" w:rsidR="002A6A59" w:rsidRDefault="002A6A59" w:rsidP="004A1205">
            <w:pPr>
              <w:pStyle w:val="TableParagraph"/>
              <w:spacing w:before="2"/>
              <w:rPr>
                <w:sz w:val="18"/>
              </w:rPr>
            </w:pPr>
            <w:r>
              <w:rPr>
                <w:spacing w:val="-2"/>
                <w:sz w:val="18"/>
              </w:rPr>
              <w:t>России</w:t>
            </w:r>
          </w:p>
        </w:tc>
        <w:tc>
          <w:tcPr>
            <w:tcW w:w="5528" w:type="dxa"/>
          </w:tcPr>
          <w:p w14:paraId="21E5CA61" w14:textId="3B458499" w:rsidR="002A6A59" w:rsidRPr="00E9630B" w:rsidRDefault="002A6A59" w:rsidP="004A1205">
            <w:pPr>
              <w:pStyle w:val="TableParagraph"/>
              <w:spacing w:before="103"/>
              <w:ind w:left="112"/>
              <w:jc w:val="center"/>
              <w:rPr>
                <w:b/>
                <w:i/>
                <w:sz w:val="24"/>
                <w:szCs w:val="24"/>
              </w:rPr>
            </w:pPr>
            <w:r w:rsidRPr="00E9630B">
              <w:rPr>
                <w:b/>
                <w:bCs/>
                <w:i/>
                <w:iCs/>
                <w:sz w:val="24"/>
                <w:szCs w:val="24"/>
              </w:rPr>
              <w:t>39134-Н</w:t>
            </w:r>
          </w:p>
        </w:tc>
      </w:tr>
      <w:tr w:rsidR="002A6A59" w14:paraId="15A332A4" w14:textId="77777777" w:rsidTr="008652D0">
        <w:trPr>
          <w:cantSplit/>
          <w:trHeight w:val="412"/>
        </w:trPr>
        <w:tc>
          <w:tcPr>
            <w:tcW w:w="5245" w:type="dxa"/>
          </w:tcPr>
          <w:p w14:paraId="78A80278" w14:textId="77777777" w:rsidR="002A6A59" w:rsidRDefault="002A6A59" w:rsidP="004A1205">
            <w:pPr>
              <w:pStyle w:val="TableParagraph"/>
              <w:rPr>
                <w:sz w:val="18"/>
              </w:rPr>
            </w:pPr>
            <w:r>
              <w:rPr>
                <w:sz w:val="18"/>
              </w:rPr>
              <w:t>1.6.</w:t>
            </w:r>
            <w:r>
              <w:rPr>
                <w:spacing w:val="-4"/>
                <w:sz w:val="18"/>
              </w:rPr>
              <w:t xml:space="preserve"> </w:t>
            </w:r>
            <w:r>
              <w:rPr>
                <w:sz w:val="18"/>
              </w:rPr>
              <w:t>Адрес</w:t>
            </w:r>
            <w:r>
              <w:rPr>
                <w:spacing w:val="-3"/>
                <w:sz w:val="18"/>
              </w:rPr>
              <w:t xml:space="preserve"> </w:t>
            </w:r>
            <w:r>
              <w:rPr>
                <w:sz w:val="18"/>
              </w:rPr>
              <w:t>страницы</w:t>
            </w:r>
            <w:r>
              <w:rPr>
                <w:spacing w:val="-3"/>
                <w:sz w:val="18"/>
              </w:rPr>
              <w:t xml:space="preserve"> </w:t>
            </w:r>
            <w:r>
              <w:rPr>
                <w:sz w:val="18"/>
              </w:rPr>
              <w:t>в</w:t>
            </w:r>
            <w:r>
              <w:rPr>
                <w:spacing w:val="-3"/>
                <w:sz w:val="18"/>
              </w:rPr>
              <w:t xml:space="preserve"> </w:t>
            </w:r>
            <w:r>
              <w:rPr>
                <w:sz w:val="18"/>
              </w:rPr>
              <w:t>сети</w:t>
            </w:r>
            <w:r>
              <w:rPr>
                <w:spacing w:val="-2"/>
                <w:sz w:val="18"/>
              </w:rPr>
              <w:t xml:space="preserve"> </w:t>
            </w:r>
            <w:r>
              <w:rPr>
                <w:sz w:val="18"/>
              </w:rPr>
              <w:t>"Интернет",</w:t>
            </w:r>
            <w:r>
              <w:rPr>
                <w:spacing w:val="-2"/>
                <w:sz w:val="18"/>
              </w:rPr>
              <w:t xml:space="preserve"> используемой</w:t>
            </w:r>
          </w:p>
          <w:p w14:paraId="6073A622" w14:textId="77777777" w:rsidR="002A6A59" w:rsidRDefault="002A6A59" w:rsidP="004A1205">
            <w:pPr>
              <w:pStyle w:val="TableParagraph"/>
              <w:rPr>
                <w:sz w:val="18"/>
              </w:rPr>
            </w:pPr>
            <w:r>
              <w:rPr>
                <w:sz w:val="18"/>
              </w:rPr>
              <w:t>эмитентом</w:t>
            </w:r>
            <w:r>
              <w:rPr>
                <w:spacing w:val="-5"/>
                <w:sz w:val="18"/>
              </w:rPr>
              <w:t xml:space="preserve"> </w:t>
            </w:r>
            <w:r>
              <w:rPr>
                <w:sz w:val="18"/>
              </w:rPr>
              <w:t>для</w:t>
            </w:r>
            <w:r>
              <w:rPr>
                <w:spacing w:val="-2"/>
                <w:sz w:val="18"/>
              </w:rPr>
              <w:t xml:space="preserve"> </w:t>
            </w:r>
            <w:r>
              <w:rPr>
                <w:sz w:val="18"/>
              </w:rPr>
              <w:t>раскрытия</w:t>
            </w:r>
            <w:r>
              <w:rPr>
                <w:spacing w:val="-2"/>
                <w:sz w:val="18"/>
              </w:rPr>
              <w:t xml:space="preserve"> информации</w:t>
            </w:r>
          </w:p>
        </w:tc>
        <w:tc>
          <w:tcPr>
            <w:tcW w:w="5528" w:type="dxa"/>
          </w:tcPr>
          <w:p w14:paraId="1E671324" w14:textId="77777777" w:rsidR="002A6A59" w:rsidRPr="00E9630B" w:rsidRDefault="00DB61B5" w:rsidP="004A1205">
            <w:pPr>
              <w:ind w:left="57"/>
              <w:jc w:val="center"/>
              <w:rPr>
                <w:b/>
                <w:i/>
                <w:sz w:val="24"/>
                <w:szCs w:val="24"/>
              </w:rPr>
            </w:pPr>
            <w:hyperlink r:id="rId6" w:history="1">
              <w:r w:rsidR="002A6A59" w:rsidRPr="00E9630B">
                <w:rPr>
                  <w:rStyle w:val="a7"/>
                  <w:b/>
                  <w:i/>
                  <w:sz w:val="24"/>
                  <w:szCs w:val="24"/>
                  <w:lang w:val="en-US"/>
                </w:rPr>
                <w:t>http</w:t>
              </w:r>
              <w:r w:rsidR="002A6A59" w:rsidRPr="00E9630B">
                <w:rPr>
                  <w:rStyle w:val="a7"/>
                  <w:b/>
                  <w:i/>
                  <w:sz w:val="24"/>
                  <w:szCs w:val="24"/>
                </w:rPr>
                <w:t>://</w:t>
              </w:r>
              <w:r w:rsidR="002A6A59" w:rsidRPr="00E9630B">
                <w:rPr>
                  <w:rStyle w:val="a7"/>
                  <w:b/>
                  <w:i/>
                  <w:sz w:val="24"/>
                  <w:szCs w:val="24"/>
                  <w:lang w:val="en-US"/>
                </w:rPr>
                <w:t>www</w:t>
              </w:r>
              <w:r w:rsidR="002A6A59" w:rsidRPr="00E9630B">
                <w:rPr>
                  <w:rStyle w:val="a7"/>
                  <w:b/>
                  <w:i/>
                  <w:sz w:val="24"/>
                  <w:szCs w:val="24"/>
                </w:rPr>
                <w:t>.</w:t>
              </w:r>
              <w:r w:rsidR="002A6A59" w:rsidRPr="00E9630B">
                <w:rPr>
                  <w:rStyle w:val="a7"/>
                  <w:b/>
                  <w:i/>
                  <w:sz w:val="24"/>
                  <w:szCs w:val="24"/>
                  <w:lang w:val="en-US"/>
                </w:rPr>
                <w:t>e</w:t>
              </w:r>
              <w:r w:rsidR="002A6A59" w:rsidRPr="00E9630B">
                <w:rPr>
                  <w:rStyle w:val="a7"/>
                  <w:b/>
                  <w:i/>
                  <w:sz w:val="24"/>
                  <w:szCs w:val="24"/>
                </w:rPr>
                <w:t>-</w:t>
              </w:r>
              <w:r w:rsidR="002A6A59" w:rsidRPr="00E9630B">
                <w:rPr>
                  <w:rStyle w:val="a7"/>
                  <w:b/>
                  <w:i/>
                  <w:sz w:val="24"/>
                  <w:szCs w:val="24"/>
                  <w:lang w:val="en-US"/>
                </w:rPr>
                <w:t>disclosure</w:t>
              </w:r>
              <w:r w:rsidR="002A6A59" w:rsidRPr="00E9630B">
                <w:rPr>
                  <w:rStyle w:val="a7"/>
                  <w:b/>
                  <w:i/>
                  <w:sz w:val="24"/>
                  <w:szCs w:val="24"/>
                </w:rPr>
                <w:t>.</w:t>
              </w:r>
              <w:proofErr w:type="spellStart"/>
              <w:r w:rsidR="002A6A59" w:rsidRPr="00E9630B">
                <w:rPr>
                  <w:rStyle w:val="a7"/>
                  <w:b/>
                  <w:i/>
                  <w:sz w:val="24"/>
                  <w:szCs w:val="24"/>
                  <w:lang w:val="en-US"/>
                </w:rPr>
                <w:t>ru</w:t>
              </w:r>
              <w:proofErr w:type="spellEnd"/>
              <w:r w:rsidR="002A6A59" w:rsidRPr="00E9630B">
                <w:rPr>
                  <w:rStyle w:val="a7"/>
                  <w:b/>
                  <w:i/>
                  <w:sz w:val="24"/>
                  <w:szCs w:val="24"/>
                </w:rPr>
                <w:t>/</w:t>
              </w:r>
              <w:r w:rsidR="002A6A59" w:rsidRPr="00E9630B">
                <w:rPr>
                  <w:rStyle w:val="a7"/>
                  <w:b/>
                  <w:i/>
                  <w:sz w:val="24"/>
                  <w:szCs w:val="24"/>
                  <w:lang w:val="en-US"/>
                </w:rPr>
                <w:t>portal</w:t>
              </w:r>
              <w:r w:rsidR="002A6A59" w:rsidRPr="00E9630B">
                <w:rPr>
                  <w:rStyle w:val="a7"/>
                  <w:b/>
                  <w:i/>
                  <w:sz w:val="24"/>
                  <w:szCs w:val="24"/>
                </w:rPr>
                <w:t>/</w:t>
              </w:r>
              <w:r w:rsidR="002A6A59" w:rsidRPr="00E9630B">
                <w:rPr>
                  <w:rStyle w:val="a7"/>
                  <w:b/>
                  <w:i/>
                  <w:sz w:val="24"/>
                  <w:szCs w:val="24"/>
                  <w:lang w:val="en-US"/>
                </w:rPr>
                <w:t>company</w:t>
              </w:r>
              <w:r w:rsidR="002A6A59" w:rsidRPr="00E9630B">
                <w:rPr>
                  <w:rStyle w:val="a7"/>
                  <w:b/>
                  <w:i/>
                  <w:sz w:val="24"/>
                  <w:szCs w:val="24"/>
                </w:rPr>
                <w:t>.</w:t>
              </w:r>
              <w:proofErr w:type="spellStart"/>
              <w:r w:rsidR="002A6A59" w:rsidRPr="00E9630B">
                <w:rPr>
                  <w:rStyle w:val="a7"/>
                  <w:b/>
                  <w:i/>
                  <w:sz w:val="24"/>
                  <w:szCs w:val="24"/>
                  <w:lang w:val="en-US"/>
                </w:rPr>
                <w:t>aspx</w:t>
              </w:r>
              <w:proofErr w:type="spellEnd"/>
              <w:r w:rsidR="002A6A59" w:rsidRPr="00E9630B">
                <w:rPr>
                  <w:rStyle w:val="a7"/>
                  <w:b/>
                  <w:i/>
                  <w:sz w:val="24"/>
                  <w:szCs w:val="24"/>
                </w:rPr>
                <w:t>?</w:t>
              </w:r>
              <w:r w:rsidR="002A6A59" w:rsidRPr="00E9630B">
                <w:rPr>
                  <w:rStyle w:val="a7"/>
                  <w:b/>
                  <w:i/>
                  <w:sz w:val="24"/>
                  <w:szCs w:val="24"/>
                  <w:lang w:val="en-US"/>
                </w:rPr>
                <w:t>id</w:t>
              </w:r>
              <w:r w:rsidR="002A6A59" w:rsidRPr="00E9630B">
                <w:rPr>
                  <w:rStyle w:val="a7"/>
                  <w:b/>
                  <w:i/>
                  <w:sz w:val="24"/>
                  <w:szCs w:val="24"/>
                </w:rPr>
                <w:t>=534</w:t>
              </w:r>
            </w:hyperlink>
            <w:r w:rsidR="002A6A59" w:rsidRPr="00E9630B">
              <w:rPr>
                <w:b/>
                <w:i/>
                <w:sz w:val="24"/>
                <w:szCs w:val="24"/>
              </w:rPr>
              <w:t>;</w:t>
            </w:r>
          </w:p>
          <w:p w14:paraId="4FB95FF6" w14:textId="7356197A" w:rsidR="002A6A59" w:rsidRPr="00E9630B" w:rsidRDefault="00DB61B5" w:rsidP="004A1205">
            <w:pPr>
              <w:pStyle w:val="TableParagraph"/>
              <w:spacing w:before="103"/>
              <w:ind w:left="112"/>
              <w:jc w:val="center"/>
              <w:rPr>
                <w:b/>
                <w:i/>
                <w:sz w:val="24"/>
                <w:szCs w:val="24"/>
              </w:rPr>
            </w:pPr>
            <w:hyperlink r:id="rId7" w:history="1">
              <w:r w:rsidR="002A6A59" w:rsidRPr="00E9630B">
                <w:rPr>
                  <w:rStyle w:val="a7"/>
                  <w:b/>
                  <w:i/>
                  <w:sz w:val="24"/>
                  <w:szCs w:val="24"/>
                </w:rPr>
                <w:t>http://www.russneft.ru/</w:t>
              </w:r>
            </w:hyperlink>
          </w:p>
        </w:tc>
      </w:tr>
      <w:tr w:rsidR="003E35C9" w14:paraId="706A2227" w14:textId="77777777" w:rsidTr="008652D0">
        <w:trPr>
          <w:cantSplit/>
          <w:trHeight w:val="414"/>
        </w:trPr>
        <w:tc>
          <w:tcPr>
            <w:tcW w:w="5245" w:type="dxa"/>
          </w:tcPr>
          <w:p w14:paraId="30DA81FD" w14:textId="77777777" w:rsidR="003E35C9" w:rsidRDefault="00277DF0" w:rsidP="004A1205">
            <w:pPr>
              <w:pStyle w:val="TableParagraph"/>
              <w:rPr>
                <w:sz w:val="18"/>
              </w:rPr>
            </w:pPr>
            <w:r>
              <w:rPr>
                <w:sz w:val="18"/>
              </w:rPr>
              <w:t>1.7.</w:t>
            </w:r>
            <w:r>
              <w:rPr>
                <w:spacing w:val="-8"/>
                <w:sz w:val="18"/>
              </w:rPr>
              <w:t xml:space="preserve"> </w:t>
            </w:r>
            <w:r>
              <w:rPr>
                <w:sz w:val="18"/>
              </w:rPr>
              <w:t>Дата</w:t>
            </w:r>
            <w:r>
              <w:rPr>
                <w:spacing w:val="-8"/>
                <w:sz w:val="18"/>
              </w:rPr>
              <w:t xml:space="preserve"> </w:t>
            </w:r>
            <w:r>
              <w:rPr>
                <w:sz w:val="18"/>
              </w:rPr>
              <w:t>наступления</w:t>
            </w:r>
            <w:r>
              <w:rPr>
                <w:spacing w:val="-6"/>
                <w:sz w:val="18"/>
              </w:rPr>
              <w:t xml:space="preserve"> </w:t>
            </w:r>
            <w:r>
              <w:rPr>
                <w:sz w:val="18"/>
              </w:rPr>
              <w:t>события</w:t>
            </w:r>
            <w:r>
              <w:rPr>
                <w:spacing w:val="-8"/>
                <w:sz w:val="18"/>
              </w:rPr>
              <w:t xml:space="preserve"> </w:t>
            </w:r>
            <w:r>
              <w:rPr>
                <w:sz w:val="18"/>
              </w:rPr>
              <w:t>(существенного</w:t>
            </w:r>
            <w:r>
              <w:rPr>
                <w:spacing w:val="-6"/>
                <w:sz w:val="18"/>
              </w:rPr>
              <w:t xml:space="preserve"> </w:t>
            </w:r>
            <w:r>
              <w:rPr>
                <w:sz w:val="18"/>
              </w:rPr>
              <w:t>факта),</w:t>
            </w:r>
            <w:r>
              <w:rPr>
                <w:spacing w:val="-7"/>
                <w:sz w:val="18"/>
              </w:rPr>
              <w:t xml:space="preserve"> </w:t>
            </w:r>
            <w:r>
              <w:rPr>
                <w:sz w:val="18"/>
              </w:rPr>
              <w:t>о котором составлено сообщение</w:t>
            </w:r>
          </w:p>
        </w:tc>
        <w:tc>
          <w:tcPr>
            <w:tcW w:w="5528" w:type="dxa"/>
          </w:tcPr>
          <w:p w14:paraId="49B99A88" w14:textId="35374EF3" w:rsidR="003E35C9" w:rsidRPr="00E9630B" w:rsidRDefault="002A6A59" w:rsidP="004A1205">
            <w:pPr>
              <w:pStyle w:val="TableParagraph"/>
              <w:spacing w:before="105"/>
              <w:ind w:left="112"/>
              <w:jc w:val="center"/>
              <w:rPr>
                <w:b/>
                <w:i/>
                <w:sz w:val="24"/>
                <w:szCs w:val="24"/>
              </w:rPr>
            </w:pPr>
            <w:r w:rsidRPr="00E9630B">
              <w:rPr>
                <w:b/>
                <w:i/>
                <w:spacing w:val="-2"/>
                <w:sz w:val="24"/>
                <w:szCs w:val="24"/>
              </w:rPr>
              <w:t>25</w:t>
            </w:r>
            <w:r w:rsidR="00BD6D2E" w:rsidRPr="00E9630B">
              <w:rPr>
                <w:b/>
                <w:i/>
                <w:spacing w:val="-2"/>
                <w:sz w:val="24"/>
                <w:szCs w:val="24"/>
              </w:rPr>
              <w:t>.05.202</w:t>
            </w:r>
            <w:r w:rsidR="0013452F" w:rsidRPr="00E9630B">
              <w:rPr>
                <w:b/>
                <w:i/>
                <w:spacing w:val="-2"/>
                <w:sz w:val="24"/>
                <w:szCs w:val="24"/>
              </w:rPr>
              <w:t>6</w:t>
            </w:r>
          </w:p>
        </w:tc>
      </w:tr>
      <w:tr w:rsidR="003E35C9" w14:paraId="38E55EAC" w14:textId="77777777" w:rsidTr="008652D0">
        <w:trPr>
          <w:cantSplit/>
          <w:trHeight w:val="208"/>
        </w:trPr>
        <w:tc>
          <w:tcPr>
            <w:tcW w:w="10773" w:type="dxa"/>
            <w:gridSpan w:val="2"/>
          </w:tcPr>
          <w:p w14:paraId="32AD2EB3" w14:textId="77777777" w:rsidR="003E35C9" w:rsidRDefault="00277DF0">
            <w:pPr>
              <w:pStyle w:val="TableParagraph"/>
              <w:spacing w:line="188" w:lineRule="exact"/>
              <w:ind w:left="4251"/>
              <w:rPr>
                <w:sz w:val="18"/>
              </w:rPr>
            </w:pPr>
            <w:r>
              <w:rPr>
                <w:sz w:val="18"/>
              </w:rPr>
              <w:t>2.</w:t>
            </w:r>
            <w:r>
              <w:rPr>
                <w:spacing w:val="-3"/>
                <w:sz w:val="18"/>
              </w:rPr>
              <w:t xml:space="preserve"> </w:t>
            </w:r>
            <w:r>
              <w:rPr>
                <w:sz w:val="18"/>
              </w:rPr>
              <w:t>Содержание</w:t>
            </w:r>
            <w:r>
              <w:rPr>
                <w:spacing w:val="-3"/>
                <w:sz w:val="18"/>
              </w:rPr>
              <w:t xml:space="preserve"> </w:t>
            </w:r>
            <w:r>
              <w:rPr>
                <w:spacing w:val="-2"/>
                <w:sz w:val="18"/>
              </w:rPr>
              <w:t>сообщения</w:t>
            </w:r>
          </w:p>
        </w:tc>
      </w:tr>
      <w:tr w:rsidR="00E9630B" w14:paraId="4B29D789" w14:textId="77777777" w:rsidTr="008652D0">
        <w:trPr>
          <w:cantSplit/>
          <w:trHeight w:val="208"/>
        </w:trPr>
        <w:tc>
          <w:tcPr>
            <w:tcW w:w="10773" w:type="dxa"/>
            <w:gridSpan w:val="2"/>
          </w:tcPr>
          <w:p w14:paraId="532FA218" w14:textId="77777777" w:rsidR="00E9630B" w:rsidRPr="00E9630B" w:rsidRDefault="00E9630B" w:rsidP="00E9630B">
            <w:pPr>
              <w:pStyle w:val="TableParagraph"/>
              <w:ind w:left="293" w:right="275" w:hanging="123"/>
              <w:jc w:val="both"/>
              <w:rPr>
                <w:sz w:val="24"/>
                <w:szCs w:val="24"/>
              </w:rPr>
            </w:pPr>
            <w:r w:rsidRPr="00E9630B">
              <w:rPr>
                <w:sz w:val="24"/>
                <w:szCs w:val="24"/>
              </w:rPr>
              <w:t>Сообщение</w:t>
            </w:r>
            <w:r w:rsidRPr="00E9630B">
              <w:rPr>
                <w:spacing w:val="-6"/>
                <w:sz w:val="24"/>
                <w:szCs w:val="24"/>
              </w:rPr>
              <w:t xml:space="preserve"> </w:t>
            </w:r>
            <w:r w:rsidRPr="00E9630B">
              <w:rPr>
                <w:sz w:val="24"/>
                <w:szCs w:val="24"/>
              </w:rPr>
              <w:t>о</w:t>
            </w:r>
            <w:r w:rsidRPr="00E9630B">
              <w:rPr>
                <w:spacing w:val="-1"/>
                <w:sz w:val="24"/>
                <w:szCs w:val="24"/>
              </w:rPr>
              <w:t xml:space="preserve"> </w:t>
            </w:r>
            <w:r w:rsidRPr="00E9630B">
              <w:rPr>
                <w:sz w:val="24"/>
                <w:szCs w:val="24"/>
              </w:rPr>
              <w:t>созыве</w:t>
            </w:r>
            <w:r w:rsidRPr="00E9630B">
              <w:rPr>
                <w:spacing w:val="-4"/>
                <w:sz w:val="24"/>
                <w:szCs w:val="24"/>
              </w:rPr>
              <w:t xml:space="preserve"> </w:t>
            </w:r>
            <w:r w:rsidRPr="00E9630B">
              <w:rPr>
                <w:sz w:val="24"/>
                <w:szCs w:val="24"/>
              </w:rPr>
              <w:t>и</w:t>
            </w:r>
            <w:r w:rsidRPr="00E9630B">
              <w:rPr>
                <w:spacing w:val="-4"/>
                <w:sz w:val="24"/>
                <w:szCs w:val="24"/>
              </w:rPr>
              <w:t xml:space="preserve"> </w:t>
            </w:r>
            <w:r w:rsidRPr="00E9630B">
              <w:rPr>
                <w:sz w:val="24"/>
                <w:szCs w:val="24"/>
              </w:rPr>
              <w:t>проведении</w:t>
            </w:r>
            <w:r w:rsidRPr="00E9630B">
              <w:rPr>
                <w:spacing w:val="-3"/>
                <w:sz w:val="24"/>
                <w:szCs w:val="24"/>
              </w:rPr>
              <w:t xml:space="preserve"> </w:t>
            </w:r>
            <w:r w:rsidRPr="00E9630B">
              <w:rPr>
                <w:sz w:val="24"/>
                <w:szCs w:val="24"/>
              </w:rPr>
              <w:t>общего</w:t>
            </w:r>
            <w:r w:rsidRPr="00E9630B">
              <w:rPr>
                <w:spacing w:val="-2"/>
                <w:sz w:val="24"/>
                <w:szCs w:val="24"/>
              </w:rPr>
              <w:t xml:space="preserve"> </w:t>
            </w:r>
            <w:r w:rsidRPr="00E9630B">
              <w:rPr>
                <w:sz w:val="24"/>
                <w:szCs w:val="24"/>
              </w:rPr>
              <w:t>собрания</w:t>
            </w:r>
            <w:r w:rsidRPr="00E9630B">
              <w:rPr>
                <w:spacing w:val="-2"/>
                <w:sz w:val="24"/>
                <w:szCs w:val="24"/>
              </w:rPr>
              <w:t xml:space="preserve"> </w:t>
            </w:r>
            <w:r w:rsidRPr="00E9630B">
              <w:rPr>
                <w:sz w:val="24"/>
                <w:szCs w:val="24"/>
              </w:rPr>
              <w:t>участников</w:t>
            </w:r>
            <w:r w:rsidRPr="00E9630B">
              <w:rPr>
                <w:spacing w:val="-4"/>
                <w:sz w:val="24"/>
                <w:szCs w:val="24"/>
              </w:rPr>
              <w:t xml:space="preserve"> </w:t>
            </w:r>
            <w:r w:rsidRPr="00E9630B">
              <w:rPr>
                <w:sz w:val="24"/>
                <w:szCs w:val="24"/>
              </w:rPr>
              <w:t>(акционеров)</w:t>
            </w:r>
            <w:r w:rsidRPr="00E9630B">
              <w:rPr>
                <w:spacing w:val="-2"/>
                <w:sz w:val="24"/>
                <w:szCs w:val="24"/>
              </w:rPr>
              <w:t xml:space="preserve"> эмитента.</w:t>
            </w:r>
          </w:p>
          <w:p w14:paraId="656A64FC" w14:textId="4509B162" w:rsidR="00E9630B" w:rsidRPr="00E9630B" w:rsidRDefault="00E9630B" w:rsidP="00E9630B">
            <w:pPr>
              <w:pStyle w:val="TableParagraph"/>
              <w:numPr>
                <w:ilvl w:val="1"/>
                <w:numId w:val="3"/>
              </w:numPr>
              <w:tabs>
                <w:tab w:val="left" w:pos="538"/>
              </w:tabs>
              <w:ind w:left="293" w:right="275" w:hanging="123"/>
              <w:jc w:val="both"/>
              <w:rPr>
                <w:b/>
                <w:i/>
                <w:sz w:val="24"/>
                <w:szCs w:val="24"/>
              </w:rPr>
            </w:pPr>
            <w:r w:rsidRPr="00E9630B">
              <w:rPr>
                <w:sz w:val="24"/>
                <w:szCs w:val="24"/>
              </w:rPr>
              <w:t xml:space="preserve">Вид общего собрания участников (акционеров) эмитента (годовое (очередное), внеочередное): </w:t>
            </w:r>
            <w:r w:rsidRPr="00E9630B">
              <w:rPr>
                <w:b/>
                <w:i/>
                <w:sz w:val="24"/>
                <w:szCs w:val="24"/>
              </w:rPr>
              <w:t>годовое</w:t>
            </w:r>
            <w:r w:rsidR="00DB61B5" w:rsidRPr="00DB61B5">
              <w:rPr>
                <w:b/>
                <w:i/>
                <w:sz w:val="24"/>
                <w:szCs w:val="24"/>
              </w:rPr>
              <w:t xml:space="preserve"> (очередное)</w:t>
            </w:r>
            <w:r w:rsidRPr="00DB61B5">
              <w:rPr>
                <w:b/>
                <w:i/>
                <w:sz w:val="24"/>
                <w:szCs w:val="24"/>
              </w:rPr>
              <w:t>.</w:t>
            </w:r>
          </w:p>
          <w:p w14:paraId="3DB0F176" w14:textId="77777777" w:rsidR="00E9630B" w:rsidRPr="00E9630B" w:rsidRDefault="00E9630B" w:rsidP="00E9630B">
            <w:pPr>
              <w:pStyle w:val="TableParagraph"/>
              <w:numPr>
                <w:ilvl w:val="1"/>
                <w:numId w:val="3"/>
              </w:numPr>
              <w:tabs>
                <w:tab w:val="left" w:pos="538"/>
              </w:tabs>
              <w:ind w:left="151" w:right="275" w:firstLine="19"/>
              <w:jc w:val="both"/>
              <w:rPr>
                <w:b/>
                <w:i/>
                <w:sz w:val="24"/>
                <w:szCs w:val="24"/>
              </w:rPr>
            </w:pPr>
            <w:r w:rsidRPr="00E9630B">
              <w:rPr>
                <w:sz w:val="24"/>
                <w:szCs w:val="24"/>
              </w:rPr>
              <w:t xml:space="preserve">Форма проведения общего собрания участников (акционеров) эмитента (собрание (совместное присутствие) или заочное голосование): </w:t>
            </w:r>
            <w:r w:rsidRPr="00E9630B">
              <w:rPr>
                <w:b/>
                <w:i/>
                <w:sz w:val="24"/>
                <w:szCs w:val="24"/>
              </w:rPr>
              <w:t>заседание общего собрания акционеров ПАО НК "РуссНефть", голосование на котором совмещается с заочным голосованием.</w:t>
            </w:r>
          </w:p>
          <w:p w14:paraId="482C1482" w14:textId="4A6B0EE3" w:rsidR="00E9630B" w:rsidRPr="00E9630B" w:rsidRDefault="00E9630B" w:rsidP="00E9630B">
            <w:pPr>
              <w:pStyle w:val="a4"/>
              <w:numPr>
                <w:ilvl w:val="1"/>
                <w:numId w:val="3"/>
              </w:numPr>
              <w:ind w:right="275" w:hanging="28"/>
              <w:jc w:val="both"/>
              <w:rPr>
                <w:color w:val="000000"/>
                <w:sz w:val="24"/>
                <w:szCs w:val="24"/>
                <w:shd w:val="clear" w:color="auto" w:fill="FFFFFF"/>
              </w:rPr>
            </w:pPr>
            <w:r w:rsidRPr="00E9630B">
              <w:rPr>
                <w:sz w:val="24"/>
                <w:szCs w:val="24"/>
              </w:rPr>
              <w:t>Дата, место, время проведения общего собрания у</w:t>
            </w:r>
            <w:r w:rsidR="009F779C">
              <w:rPr>
                <w:sz w:val="24"/>
                <w:szCs w:val="24"/>
              </w:rPr>
              <w:t>частников (акционеров) эмитента</w:t>
            </w:r>
            <w:r w:rsidRPr="00E9630B">
              <w:rPr>
                <w:sz w:val="24"/>
                <w:szCs w:val="24"/>
              </w:rPr>
              <w:t xml:space="preserve">: </w:t>
            </w:r>
            <w:r w:rsidRPr="00E9630B">
              <w:rPr>
                <w:b/>
                <w:bCs/>
                <w:i/>
                <w:iCs/>
                <w:color w:val="000000"/>
                <w:sz w:val="24"/>
                <w:szCs w:val="24"/>
                <w:shd w:val="clear" w:color="auto" w:fill="FFFFFF"/>
              </w:rPr>
              <w:t xml:space="preserve">26 июня 2026 года в 13 часов 00 минут (время </w:t>
            </w:r>
            <w:r w:rsidR="00DB61B5">
              <w:rPr>
                <w:b/>
                <w:bCs/>
                <w:i/>
                <w:iCs/>
                <w:color w:val="000000"/>
                <w:sz w:val="24"/>
                <w:szCs w:val="24"/>
                <w:shd w:val="clear" w:color="auto" w:fill="FFFFFF"/>
              </w:rPr>
              <w:t>местн</w:t>
            </w:r>
            <w:r w:rsidRPr="00E9630B">
              <w:rPr>
                <w:b/>
                <w:bCs/>
                <w:i/>
                <w:iCs/>
                <w:color w:val="000000"/>
                <w:sz w:val="24"/>
                <w:szCs w:val="24"/>
                <w:shd w:val="clear" w:color="auto" w:fill="FFFFFF"/>
              </w:rPr>
              <w:t xml:space="preserve">ое), по адресу: г. Москва, Зеленоград, Центральная пл., д. 1, ГАУК </w:t>
            </w:r>
            <w:proofErr w:type="spellStart"/>
            <w:r w:rsidRPr="00E9630B">
              <w:rPr>
                <w:b/>
                <w:bCs/>
                <w:i/>
                <w:iCs/>
                <w:color w:val="000000"/>
                <w:sz w:val="24"/>
                <w:szCs w:val="24"/>
                <w:shd w:val="clear" w:color="auto" w:fill="FFFFFF"/>
              </w:rPr>
              <w:t>г.Москвы</w:t>
            </w:r>
            <w:proofErr w:type="spellEnd"/>
            <w:r w:rsidRPr="00E9630B">
              <w:rPr>
                <w:b/>
                <w:bCs/>
                <w:i/>
                <w:iCs/>
                <w:color w:val="000000"/>
                <w:sz w:val="24"/>
                <w:szCs w:val="24"/>
                <w:shd w:val="clear" w:color="auto" w:fill="FFFFFF"/>
              </w:rPr>
              <w:t xml:space="preserve"> «КЦ «Зеленоград»</w:t>
            </w:r>
            <w:r w:rsidRPr="00E9630B">
              <w:rPr>
                <w:color w:val="000000"/>
                <w:sz w:val="24"/>
                <w:szCs w:val="24"/>
                <w:shd w:val="clear" w:color="auto" w:fill="FFFFFF"/>
              </w:rPr>
              <w:t xml:space="preserve">; </w:t>
            </w:r>
          </w:p>
          <w:p w14:paraId="5E1B947E" w14:textId="77777777" w:rsidR="00E9630B" w:rsidRPr="00E9630B" w:rsidRDefault="00E9630B" w:rsidP="00E9630B">
            <w:pPr>
              <w:ind w:left="142" w:right="275"/>
              <w:jc w:val="both"/>
              <w:rPr>
                <w:color w:val="000000"/>
                <w:sz w:val="24"/>
                <w:szCs w:val="24"/>
                <w:shd w:val="clear" w:color="auto" w:fill="FFFFFF"/>
              </w:rPr>
            </w:pPr>
            <w:r w:rsidRPr="00E9630B">
              <w:rPr>
                <w:color w:val="000000"/>
                <w:sz w:val="24"/>
                <w:szCs w:val="24"/>
                <w:shd w:val="clear" w:color="auto" w:fill="FFFFFF"/>
              </w:rPr>
              <w:t xml:space="preserve">почтовый адрес, адрес электронной почты для направления заполненных бюллетеней для голосования: </w:t>
            </w:r>
            <w:r w:rsidRPr="00E9630B">
              <w:rPr>
                <w:b/>
                <w:bCs/>
                <w:i/>
                <w:iCs/>
                <w:color w:val="000000"/>
                <w:sz w:val="24"/>
                <w:szCs w:val="24"/>
                <w:shd w:val="clear" w:color="auto" w:fill="FFFFFF"/>
              </w:rPr>
              <w:t xml:space="preserve">заполненные бюллетени для голосования (в бумажной форме) должны быть направлены лицами, имеющими право голоса при принятии решений общим собранием акционеров ПАО НК «РуссНефть» по адресу регистратора ПАО НК «РуссНефть» (АО «Сервис-Реестр») - 107045, г. Москва, ул. </w:t>
            </w:r>
            <w:proofErr w:type="spellStart"/>
            <w:r w:rsidRPr="00E9630B">
              <w:rPr>
                <w:b/>
                <w:bCs/>
                <w:i/>
                <w:iCs/>
                <w:color w:val="000000"/>
                <w:sz w:val="24"/>
                <w:szCs w:val="24"/>
                <w:shd w:val="clear" w:color="auto" w:fill="FFFFFF"/>
              </w:rPr>
              <w:t>Сретенка</w:t>
            </w:r>
            <w:proofErr w:type="spellEnd"/>
            <w:r w:rsidRPr="00E9630B">
              <w:rPr>
                <w:b/>
                <w:bCs/>
                <w:i/>
                <w:iCs/>
                <w:color w:val="000000"/>
                <w:sz w:val="24"/>
                <w:szCs w:val="24"/>
                <w:shd w:val="clear" w:color="auto" w:fill="FFFFFF"/>
              </w:rPr>
              <w:t>, д.12, возможность направления бюллетеней на адрес электронной почты не предусмотрена</w:t>
            </w:r>
            <w:r w:rsidRPr="00E9630B">
              <w:rPr>
                <w:color w:val="000000"/>
                <w:sz w:val="24"/>
                <w:szCs w:val="24"/>
                <w:shd w:val="clear" w:color="auto" w:fill="FFFFFF"/>
              </w:rPr>
              <w:t xml:space="preserve">; </w:t>
            </w:r>
          </w:p>
          <w:p w14:paraId="631C9ABC" w14:textId="270A5379" w:rsidR="00E9630B" w:rsidRPr="00E9630B" w:rsidRDefault="00E9630B" w:rsidP="00E9630B">
            <w:pPr>
              <w:ind w:left="142" w:right="275"/>
              <w:jc w:val="both"/>
              <w:rPr>
                <w:sz w:val="24"/>
                <w:szCs w:val="24"/>
              </w:rPr>
            </w:pPr>
            <w:r w:rsidRPr="00E9630B">
              <w:rPr>
                <w:color w:val="000000"/>
                <w:sz w:val="24"/>
                <w:szCs w:val="24"/>
                <w:shd w:val="clear" w:color="auto" w:fill="FFFFFF"/>
              </w:rPr>
              <w:t xml:space="preserve">адрес сайта в сети "Интернет", на котором заполняются электронные формы бюллетеней для голосования: </w:t>
            </w:r>
            <w:r w:rsidR="00DB61B5">
              <w:rPr>
                <w:b/>
                <w:bCs/>
                <w:i/>
                <w:iCs/>
                <w:color w:val="000000"/>
                <w:sz w:val="24"/>
                <w:szCs w:val="24"/>
                <w:shd w:val="clear" w:color="auto" w:fill="FFFFFF"/>
              </w:rPr>
              <w:t>а</w:t>
            </w:r>
            <w:bookmarkStart w:id="0" w:name="_GoBack"/>
            <w:bookmarkEnd w:id="0"/>
            <w:r w:rsidRPr="00E9630B">
              <w:rPr>
                <w:b/>
                <w:bCs/>
                <w:i/>
                <w:iCs/>
                <w:color w:val="000000"/>
                <w:sz w:val="24"/>
                <w:szCs w:val="24"/>
                <w:shd w:val="clear" w:color="auto" w:fill="FFFFFF"/>
              </w:rPr>
              <w:t xml:space="preserve">кционерам предоставляется возможность электронного голосования путем заполнения и направления электронной формы бюллетеней для голосования в информационно-телекоммуникационной сети «Интернет» на сайте регистратора ПАО НК «РуссНефть» (АО «Сервис-Реестр») </w:t>
            </w:r>
            <w:hyperlink r:id="rId8" w:history="1">
              <w:r w:rsidRPr="00E9630B">
                <w:rPr>
                  <w:rStyle w:val="a7"/>
                  <w:b/>
                  <w:bCs/>
                  <w:i/>
                  <w:iCs/>
                  <w:sz w:val="24"/>
                  <w:szCs w:val="24"/>
                  <w:shd w:val="clear" w:color="auto" w:fill="FFFFFF"/>
                </w:rPr>
                <w:t>www.servis-reestr.ru</w:t>
              </w:r>
            </w:hyperlink>
            <w:r w:rsidRPr="00E9630B">
              <w:rPr>
                <w:b/>
                <w:bCs/>
                <w:i/>
                <w:iCs/>
                <w:color w:val="000000"/>
                <w:sz w:val="24"/>
                <w:szCs w:val="24"/>
                <w:shd w:val="clear" w:color="auto" w:fill="FFFFFF"/>
              </w:rPr>
              <w:t xml:space="preserve"> в Личном кабинете акционера </w:t>
            </w:r>
            <w:hyperlink r:id="rId9" w:anchor="/auth" w:history="1">
              <w:r w:rsidRPr="00E9630B">
                <w:rPr>
                  <w:rStyle w:val="a7"/>
                  <w:b/>
                  <w:bCs/>
                  <w:i/>
                  <w:iCs/>
                  <w:sz w:val="24"/>
                  <w:szCs w:val="24"/>
                  <w:shd w:val="clear" w:color="auto" w:fill="FFFFFF"/>
                </w:rPr>
                <w:t>https://servis-reestr.ru/shareholder-lk/?type=shareholder/#/auth</w:t>
              </w:r>
            </w:hyperlink>
            <w:r w:rsidRPr="00E9630B">
              <w:rPr>
                <w:color w:val="000000"/>
                <w:sz w:val="24"/>
                <w:szCs w:val="24"/>
                <w:shd w:val="clear" w:color="auto" w:fill="FFFFFF"/>
              </w:rPr>
              <w:t>.</w:t>
            </w:r>
          </w:p>
          <w:p w14:paraId="28CC92D6" w14:textId="77777777" w:rsidR="00E9630B" w:rsidRDefault="00E9630B">
            <w:pPr>
              <w:pStyle w:val="TableParagraph"/>
              <w:spacing w:line="188" w:lineRule="exact"/>
              <w:ind w:left="4251"/>
              <w:rPr>
                <w:sz w:val="18"/>
              </w:rPr>
            </w:pPr>
          </w:p>
        </w:tc>
      </w:tr>
      <w:tr w:rsidR="00A90417" w:rsidRPr="00E9630B" w14:paraId="3342CB70" w14:textId="77777777" w:rsidTr="008652D0">
        <w:trPr>
          <w:cantSplit/>
          <w:trHeight w:val="208"/>
        </w:trPr>
        <w:tc>
          <w:tcPr>
            <w:tcW w:w="10773" w:type="dxa"/>
            <w:gridSpan w:val="2"/>
          </w:tcPr>
          <w:p w14:paraId="52E03F76" w14:textId="77777777" w:rsidR="00A90417" w:rsidRPr="00E9630B" w:rsidRDefault="00A90417" w:rsidP="00E9630B">
            <w:pPr>
              <w:pStyle w:val="TableParagraph"/>
              <w:numPr>
                <w:ilvl w:val="1"/>
                <w:numId w:val="3"/>
              </w:numPr>
              <w:tabs>
                <w:tab w:val="left" w:pos="543"/>
              </w:tabs>
              <w:ind w:right="275" w:hanging="19"/>
              <w:jc w:val="both"/>
              <w:rPr>
                <w:b/>
                <w:i/>
                <w:sz w:val="24"/>
                <w:szCs w:val="24"/>
              </w:rPr>
            </w:pPr>
            <w:r w:rsidRPr="00E9630B">
              <w:rPr>
                <w:sz w:val="24"/>
                <w:szCs w:val="24"/>
              </w:rPr>
              <w:lastRenderedPageBreak/>
              <w:t xml:space="preserve">Время начала регистрации лиц, принимающих участие в общем собрании участников (акционеров) эмитента (в случае проведения общего собрания в форме собрания (совместного присутствия): </w:t>
            </w:r>
            <w:r w:rsidRPr="00E9630B">
              <w:rPr>
                <w:b/>
                <w:i/>
                <w:sz w:val="24"/>
                <w:szCs w:val="24"/>
              </w:rPr>
              <w:t>12 часов 00 минут (время местное).</w:t>
            </w:r>
          </w:p>
          <w:p w14:paraId="2239EB71" w14:textId="11FAFFE9" w:rsidR="00A90417" w:rsidRPr="00E9630B" w:rsidRDefault="00A90417" w:rsidP="00290779">
            <w:pPr>
              <w:pStyle w:val="TableParagraph"/>
              <w:numPr>
                <w:ilvl w:val="1"/>
                <w:numId w:val="3"/>
              </w:numPr>
              <w:tabs>
                <w:tab w:val="left" w:pos="507"/>
              </w:tabs>
              <w:ind w:left="507" w:right="275" w:hanging="337"/>
              <w:jc w:val="both"/>
              <w:rPr>
                <w:b/>
                <w:i/>
                <w:spacing w:val="-2"/>
                <w:sz w:val="24"/>
                <w:szCs w:val="24"/>
              </w:rPr>
            </w:pPr>
            <w:r w:rsidRPr="00E9630B">
              <w:rPr>
                <w:sz w:val="24"/>
                <w:szCs w:val="24"/>
              </w:rPr>
              <w:t>Дата</w:t>
            </w:r>
            <w:r w:rsidRPr="00E9630B">
              <w:rPr>
                <w:spacing w:val="16"/>
                <w:sz w:val="24"/>
                <w:szCs w:val="24"/>
              </w:rPr>
              <w:t xml:space="preserve"> </w:t>
            </w:r>
            <w:r w:rsidRPr="00E9630B">
              <w:rPr>
                <w:sz w:val="24"/>
                <w:szCs w:val="24"/>
              </w:rPr>
              <w:t>окончания</w:t>
            </w:r>
            <w:r w:rsidRPr="00E9630B">
              <w:rPr>
                <w:spacing w:val="19"/>
                <w:sz w:val="24"/>
                <w:szCs w:val="24"/>
              </w:rPr>
              <w:t xml:space="preserve"> </w:t>
            </w:r>
            <w:r w:rsidRPr="00E9630B">
              <w:rPr>
                <w:sz w:val="24"/>
                <w:szCs w:val="24"/>
              </w:rPr>
              <w:t>приема</w:t>
            </w:r>
            <w:r w:rsidRPr="00E9630B">
              <w:rPr>
                <w:spacing w:val="18"/>
                <w:sz w:val="24"/>
                <w:szCs w:val="24"/>
              </w:rPr>
              <w:t xml:space="preserve"> </w:t>
            </w:r>
            <w:r w:rsidRPr="00E9630B">
              <w:rPr>
                <w:sz w:val="24"/>
                <w:szCs w:val="24"/>
              </w:rPr>
              <w:t>бюллетеней</w:t>
            </w:r>
            <w:r w:rsidRPr="00E9630B">
              <w:rPr>
                <w:spacing w:val="18"/>
                <w:sz w:val="24"/>
                <w:szCs w:val="24"/>
              </w:rPr>
              <w:t xml:space="preserve"> </w:t>
            </w:r>
            <w:r w:rsidRPr="00E9630B">
              <w:rPr>
                <w:sz w:val="24"/>
                <w:szCs w:val="24"/>
              </w:rPr>
              <w:t>для</w:t>
            </w:r>
            <w:r w:rsidRPr="00E9630B">
              <w:rPr>
                <w:spacing w:val="20"/>
                <w:sz w:val="24"/>
                <w:szCs w:val="24"/>
              </w:rPr>
              <w:t xml:space="preserve"> </w:t>
            </w:r>
            <w:r w:rsidRPr="00E9630B">
              <w:rPr>
                <w:sz w:val="24"/>
                <w:szCs w:val="24"/>
              </w:rPr>
              <w:t>голосования</w:t>
            </w:r>
            <w:r w:rsidRPr="00E9630B">
              <w:rPr>
                <w:spacing w:val="20"/>
                <w:sz w:val="24"/>
                <w:szCs w:val="24"/>
              </w:rPr>
              <w:t xml:space="preserve"> </w:t>
            </w:r>
            <w:r w:rsidRPr="00E9630B">
              <w:rPr>
                <w:sz w:val="24"/>
                <w:szCs w:val="24"/>
              </w:rPr>
              <w:t>(в</w:t>
            </w:r>
            <w:r w:rsidRPr="00E9630B">
              <w:rPr>
                <w:spacing w:val="18"/>
                <w:sz w:val="24"/>
                <w:szCs w:val="24"/>
              </w:rPr>
              <w:t xml:space="preserve"> </w:t>
            </w:r>
            <w:r w:rsidRPr="00E9630B">
              <w:rPr>
                <w:sz w:val="24"/>
                <w:szCs w:val="24"/>
              </w:rPr>
              <w:t>случае</w:t>
            </w:r>
            <w:r w:rsidRPr="00E9630B">
              <w:rPr>
                <w:spacing w:val="18"/>
                <w:sz w:val="24"/>
                <w:szCs w:val="24"/>
              </w:rPr>
              <w:t xml:space="preserve"> </w:t>
            </w:r>
            <w:r w:rsidRPr="00E9630B">
              <w:rPr>
                <w:sz w:val="24"/>
                <w:szCs w:val="24"/>
              </w:rPr>
              <w:t>проведения</w:t>
            </w:r>
            <w:r w:rsidRPr="00E9630B">
              <w:rPr>
                <w:spacing w:val="20"/>
                <w:sz w:val="24"/>
                <w:szCs w:val="24"/>
              </w:rPr>
              <w:t xml:space="preserve"> </w:t>
            </w:r>
            <w:r w:rsidRPr="00E9630B">
              <w:rPr>
                <w:sz w:val="24"/>
                <w:szCs w:val="24"/>
              </w:rPr>
              <w:t>общего</w:t>
            </w:r>
            <w:r w:rsidRPr="00E9630B">
              <w:rPr>
                <w:spacing w:val="20"/>
                <w:sz w:val="24"/>
                <w:szCs w:val="24"/>
              </w:rPr>
              <w:t xml:space="preserve"> </w:t>
            </w:r>
            <w:r w:rsidRPr="00E9630B">
              <w:rPr>
                <w:sz w:val="24"/>
                <w:szCs w:val="24"/>
              </w:rPr>
              <w:t>собрания</w:t>
            </w:r>
            <w:r w:rsidRPr="00E9630B">
              <w:rPr>
                <w:spacing w:val="19"/>
                <w:sz w:val="24"/>
                <w:szCs w:val="24"/>
              </w:rPr>
              <w:t xml:space="preserve"> </w:t>
            </w:r>
            <w:r w:rsidRPr="00E9630B">
              <w:rPr>
                <w:sz w:val="24"/>
                <w:szCs w:val="24"/>
              </w:rPr>
              <w:t>в</w:t>
            </w:r>
            <w:r w:rsidRPr="00E9630B">
              <w:rPr>
                <w:spacing w:val="19"/>
                <w:sz w:val="24"/>
                <w:szCs w:val="24"/>
              </w:rPr>
              <w:t xml:space="preserve"> </w:t>
            </w:r>
            <w:r w:rsidRPr="00E9630B">
              <w:rPr>
                <w:sz w:val="24"/>
                <w:szCs w:val="24"/>
              </w:rPr>
              <w:t>форме</w:t>
            </w:r>
            <w:r w:rsidRPr="00E9630B">
              <w:rPr>
                <w:spacing w:val="18"/>
                <w:sz w:val="24"/>
                <w:szCs w:val="24"/>
              </w:rPr>
              <w:t xml:space="preserve"> </w:t>
            </w:r>
            <w:r w:rsidRPr="00E9630B">
              <w:rPr>
                <w:sz w:val="24"/>
                <w:szCs w:val="24"/>
              </w:rPr>
              <w:t>заочного</w:t>
            </w:r>
            <w:r w:rsidRPr="00E9630B">
              <w:rPr>
                <w:spacing w:val="20"/>
                <w:sz w:val="24"/>
                <w:szCs w:val="24"/>
              </w:rPr>
              <w:t xml:space="preserve"> </w:t>
            </w:r>
            <w:r w:rsidRPr="00E9630B">
              <w:rPr>
                <w:spacing w:val="-2"/>
                <w:sz w:val="24"/>
                <w:szCs w:val="24"/>
              </w:rPr>
              <w:t>голосования):</w:t>
            </w:r>
            <w:r w:rsidR="00E9630B">
              <w:rPr>
                <w:spacing w:val="-2"/>
                <w:sz w:val="24"/>
                <w:szCs w:val="24"/>
              </w:rPr>
              <w:t xml:space="preserve"> </w:t>
            </w:r>
            <w:r w:rsidRPr="00E9630B">
              <w:rPr>
                <w:b/>
                <w:i/>
                <w:spacing w:val="-2"/>
                <w:sz w:val="24"/>
                <w:szCs w:val="24"/>
              </w:rPr>
              <w:t>дата окончания приема бюллетеней для заочного голосования по вопросам повестки дня годового заседания общего собрания акционеров ПАО НК "РуссНефть" - 23 июня 2026 года</w:t>
            </w:r>
            <w:r w:rsidR="00E9630B">
              <w:rPr>
                <w:b/>
                <w:i/>
                <w:spacing w:val="-2"/>
                <w:sz w:val="24"/>
                <w:szCs w:val="24"/>
              </w:rPr>
              <w:t xml:space="preserve"> (включительно)</w:t>
            </w:r>
            <w:r w:rsidRPr="00E9630B">
              <w:rPr>
                <w:b/>
                <w:i/>
                <w:spacing w:val="-2"/>
                <w:sz w:val="24"/>
                <w:szCs w:val="24"/>
              </w:rPr>
              <w:t>.</w:t>
            </w:r>
          </w:p>
          <w:p w14:paraId="6298109E" w14:textId="77777777" w:rsidR="00A90417" w:rsidRPr="00E9630B" w:rsidRDefault="00A90417" w:rsidP="00E9630B">
            <w:pPr>
              <w:pStyle w:val="TableParagraph"/>
              <w:numPr>
                <w:ilvl w:val="1"/>
                <w:numId w:val="2"/>
              </w:numPr>
              <w:tabs>
                <w:tab w:val="left" w:pos="504"/>
              </w:tabs>
              <w:ind w:right="275" w:firstLine="0"/>
              <w:jc w:val="both"/>
              <w:rPr>
                <w:b/>
                <w:i/>
                <w:sz w:val="24"/>
                <w:szCs w:val="24"/>
              </w:rPr>
            </w:pPr>
            <w:r w:rsidRPr="00E9630B">
              <w:rPr>
                <w:sz w:val="24"/>
                <w:szCs w:val="24"/>
              </w:rPr>
              <w:t xml:space="preserve">Дата, на которую определяются (фиксируются) лица, имеющие право на участие в общем собрании участников (акционеров) эмитента: </w:t>
            </w:r>
            <w:r w:rsidRPr="00E9630B">
              <w:rPr>
                <w:b/>
                <w:i/>
                <w:sz w:val="24"/>
                <w:szCs w:val="24"/>
              </w:rPr>
              <w:t>02 июня 2026 года.</w:t>
            </w:r>
          </w:p>
          <w:p w14:paraId="7EC27940" w14:textId="77777777" w:rsidR="00A90417" w:rsidRPr="00E9630B" w:rsidRDefault="00A90417" w:rsidP="00E9630B">
            <w:pPr>
              <w:pStyle w:val="TableParagraph"/>
              <w:numPr>
                <w:ilvl w:val="1"/>
                <w:numId w:val="2"/>
              </w:numPr>
              <w:tabs>
                <w:tab w:val="left" w:pos="485"/>
              </w:tabs>
              <w:ind w:left="485" w:right="275" w:hanging="315"/>
              <w:jc w:val="both"/>
              <w:rPr>
                <w:sz w:val="24"/>
                <w:szCs w:val="24"/>
              </w:rPr>
            </w:pPr>
            <w:r w:rsidRPr="00E9630B">
              <w:rPr>
                <w:sz w:val="24"/>
                <w:szCs w:val="24"/>
              </w:rPr>
              <w:t>Повестка</w:t>
            </w:r>
            <w:r w:rsidRPr="00E9630B">
              <w:rPr>
                <w:spacing w:val="-5"/>
                <w:sz w:val="24"/>
                <w:szCs w:val="24"/>
              </w:rPr>
              <w:t xml:space="preserve"> </w:t>
            </w:r>
            <w:r w:rsidRPr="00E9630B">
              <w:rPr>
                <w:sz w:val="24"/>
                <w:szCs w:val="24"/>
              </w:rPr>
              <w:t>дня</w:t>
            </w:r>
            <w:r w:rsidRPr="00E9630B">
              <w:rPr>
                <w:spacing w:val="-4"/>
                <w:sz w:val="24"/>
                <w:szCs w:val="24"/>
              </w:rPr>
              <w:t xml:space="preserve"> </w:t>
            </w:r>
            <w:r w:rsidRPr="00E9630B">
              <w:rPr>
                <w:sz w:val="24"/>
                <w:szCs w:val="24"/>
              </w:rPr>
              <w:t>общего</w:t>
            </w:r>
            <w:r w:rsidRPr="00E9630B">
              <w:rPr>
                <w:spacing w:val="-4"/>
                <w:sz w:val="24"/>
                <w:szCs w:val="24"/>
              </w:rPr>
              <w:t xml:space="preserve"> </w:t>
            </w:r>
            <w:r w:rsidRPr="00E9630B">
              <w:rPr>
                <w:sz w:val="24"/>
                <w:szCs w:val="24"/>
              </w:rPr>
              <w:t>собрания</w:t>
            </w:r>
            <w:r w:rsidRPr="00E9630B">
              <w:rPr>
                <w:spacing w:val="-4"/>
                <w:sz w:val="24"/>
                <w:szCs w:val="24"/>
              </w:rPr>
              <w:t xml:space="preserve"> </w:t>
            </w:r>
            <w:r w:rsidRPr="00E9630B">
              <w:rPr>
                <w:sz w:val="24"/>
                <w:szCs w:val="24"/>
              </w:rPr>
              <w:t>участников</w:t>
            </w:r>
            <w:r w:rsidRPr="00E9630B">
              <w:rPr>
                <w:spacing w:val="-4"/>
                <w:sz w:val="24"/>
                <w:szCs w:val="24"/>
              </w:rPr>
              <w:t xml:space="preserve"> </w:t>
            </w:r>
            <w:r w:rsidRPr="00E9630B">
              <w:rPr>
                <w:sz w:val="24"/>
                <w:szCs w:val="24"/>
              </w:rPr>
              <w:t>(акционеров)</w:t>
            </w:r>
            <w:r w:rsidRPr="00E9630B">
              <w:rPr>
                <w:spacing w:val="-4"/>
                <w:sz w:val="24"/>
                <w:szCs w:val="24"/>
              </w:rPr>
              <w:t xml:space="preserve"> </w:t>
            </w:r>
            <w:r w:rsidRPr="00E9630B">
              <w:rPr>
                <w:spacing w:val="-2"/>
                <w:sz w:val="24"/>
                <w:szCs w:val="24"/>
              </w:rPr>
              <w:t>эмитента:</w:t>
            </w:r>
          </w:p>
          <w:p w14:paraId="05B2961F" w14:textId="77777777" w:rsidR="00A90417" w:rsidRPr="00E9630B" w:rsidRDefault="00A90417" w:rsidP="00E9630B">
            <w:pPr>
              <w:tabs>
                <w:tab w:val="left" w:pos="0"/>
                <w:tab w:val="left" w:pos="3960"/>
                <w:tab w:val="left" w:pos="6300"/>
              </w:tabs>
              <w:ind w:right="275" w:firstLine="142"/>
              <w:rPr>
                <w:b/>
                <w:i/>
                <w:sz w:val="24"/>
                <w:szCs w:val="24"/>
              </w:rPr>
            </w:pPr>
            <w:r w:rsidRPr="00E9630B">
              <w:rPr>
                <w:b/>
                <w:i/>
                <w:sz w:val="24"/>
                <w:szCs w:val="24"/>
              </w:rPr>
              <w:t>1. Об утверждении годового отчета ПАО НК «РуссНефть» за 2025 год.</w:t>
            </w:r>
          </w:p>
          <w:p w14:paraId="2F35DF21" w14:textId="77777777" w:rsidR="00A90417" w:rsidRPr="00E9630B" w:rsidRDefault="00A90417" w:rsidP="00E9630B">
            <w:pPr>
              <w:tabs>
                <w:tab w:val="left" w:pos="142"/>
                <w:tab w:val="left" w:pos="3960"/>
                <w:tab w:val="left" w:pos="6300"/>
              </w:tabs>
              <w:ind w:left="142" w:right="275"/>
              <w:rPr>
                <w:b/>
                <w:i/>
                <w:sz w:val="24"/>
                <w:szCs w:val="24"/>
              </w:rPr>
            </w:pPr>
            <w:r w:rsidRPr="00E9630B">
              <w:rPr>
                <w:b/>
                <w:i/>
                <w:sz w:val="24"/>
                <w:szCs w:val="24"/>
              </w:rPr>
              <w:t>2. Об утверждении годовой бухгалтерской (финансовой) отчетности ПАО НК «РуссНефть» за 2025 год.</w:t>
            </w:r>
          </w:p>
          <w:p w14:paraId="40BDD3D9" w14:textId="77777777" w:rsidR="00A90417" w:rsidRPr="00E9630B" w:rsidRDefault="00A90417" w:rsidP="00E9630B">
            <w:pPr>
              <w:tabs>
                <w:tab w:val="left" w:pos="142"/>
                <w:tab w:val="left" w:pos="3960"/>
                <w:tab w:val="left" w:pos="6300"/>
              </w:tabs>
              <w:ind w:left="142" w:right="275"/>
              <w:rPr>
                <w:b/>
                <w:i/>
                <w:sz w:val="24"/>
                <w:szCs w:val="24"/>
              </w:rPr>
            </w:pPr>
            <w:r w:rsidRPr="00E9630B">
              <w:rPr>
                <w:b/>
                <w:i/>
                <w:sz w:val="24"/>
                <w:szCs w:val="24"/>
              </w:rPr>
              <w:t>3. О распределении прибыли по итогам 2025 года, в том числе выплате дивидендов по акциям ПАО НК «РуссНефть».</w:t>
            </w:r>
          </w:p>
          <w:p w14:paraId="4D750406" w14:textId="77777777" w:rsidR="00A90417" w:rsidRPr="00E9630B" w:rsidRDefault="00A90417" w:rsidP="00E9630B">
            <w:pPr>
              <w:tabs>
                <w:tab w:val="left" w:pos="0"/>
                <w:tab w:val="left" w:pos="3960"/>
                <w:tab w:val="left" w:pos="6300"/>
              </w:tabs>
              <w:ind w:right="275" w:firstLine="142"/>
              <w:rPr>
                <w:b/>
                <w:i/>
                <w:sz w:val="24"/>
                <w:szCs w:val="24"/>
              </w:rPr>
            </w:pPr>
            <w:r w:rsidRPr="00E9630B">
              <w:rPr>
                <w:b/>
                <w:i/>
                <w:sz w:val="24"/>
                <w:szCs w:val="24"/>
              </w:rPr>
              <w:t>4. Об избрании членов Совета директоров ПАО НК «РуссНефть».</w:t>
            </w:r>
          </w:p>
          <w:p w14:paraId="1D282C01" w14:textId="77777777" w:rsidR="00A90417" w:rsidRPr="00E9630B" w:rsidRDefault="00A90417" w:rsidP="00E9630B">
            <w:pPr>
              <w:tabs>
                <w:tab w:val="left" w:pos="0"/>
                <w:tab w:val="left" w:pos="3960"/>
                <w:tab w:val="left" w:pos="6300"/>
              </w:tabs>
              <w:ind w:right="275" w:firstLine="142"/>
              <w:rPr>
                <w:b/>
                <w:i/>
                <w:sz w:val="24"/>
                <w:szCs w:val="24"/>
              </w:rPr>
            </w:pPr>
            <w:r w:rsidRPr="00E9630B">
              <w:rPr>
                <w:b/>
                <w:i/>
                <w:sz w:val="24"/>
                <w:szCs w:val="24"/>
              </w:rPr>
              <w:t>5. Об избрании членов Ревизионной комиссии ПАО НК «РуссНефть».</w:t>
            </w:r>
          </w:p>
          <w:p w14:paraId="7F70CB90" w14:textId="77777777" w:rsidR="00E9630B" w:rsidRDefault="00A90417" w:rsidP="00E9630B">
            <w:pPr>
              <w:tabs>
                <w:tab w:val="left" w:pos="142"/>
              </w:tabs>
              <w:ind w:left="142" w:right="275"/>
              <w:rPr>
                <w:b/>
                <w:i/>
                <w:sz w:val="24"/>
                <w:szCs w:val="24"/>
              </w:rPr>
            </w:pPr>
            <w:r w:rsidRPr="00E9630B">
              <w:rPr>
                <w:b/>
                <w:i/>
                <w:sz w:val="24"/>
                <w:szCs w:val="24"/>
              </w:rPr>
              <w:t>6. О назначении аудиторской организации ПАО НК «РуссНефть».</w:t>
            </w:r>
            <w:r w:rsidR="00E9630B" w:rsidRPr="00E9630B">
              <w:rPr>
                <w:b/>
                <w:i/>
                <w:sz w:val="24"/>
                <w:szCs w:val="24"/>
              </w:rPr>
              <w:t xml:space="preserve"> </w:t>
            </w:r>
          </w:p>
          <w:p w14:paraId="79720414" w14:textId="0A307122" w:rsidR="00E9630B" w:rsidRPr="00E9630B" w:rsidRDefault="00E9630B" w:rsidP="00E9630B">
            <w:pPr>
              <w:tabs>
                <w:tab w:val="left" w:pos="142"/>
              </w:tabs>
              <w:ind w:left="142" w:right="275"/>
              <w:rPr>
                <w:b/>
                <w:i/>
                <w:sz w:val="24"/>
                <w:szCs w:val="24"/>
              </w:rPr>
            </w:pPr>
            <w:r w:rsidRPr="00E9630B">
              <w:rPr>
                <w:b/>
                <w:i/>
                <w:sz w:val="24"/>
                <w:szCs w:val="24"/>
              </w:rPr>
              <w:t xml:space="preserve">7. Об установлении размеров вознаграждения членам Совета директоров ПАО НК «РуссНефть» и компенсации расходов, связанных с исполнением обязанностей членов Совета директоров ПАО НК «РуссНефть». </w:t>
            </w:r>
          </w:p>
          <w:p w14:paraId="26137A4A" w14:textId="77777777" w:rsidR="00E9630B" w:rsidRPr="00E9630B" w:rsidRDefault="00E9630B" w:rsidP="00E9630B">
            <w:pPr>
              <w:tabs>
                <w:tab w:val="left" w:pos="0"/>
              </w:tabs>
              <w:ind w:right="275" w:firstLine="142"/>
              <w:rPr>
                <w:b/>
                <w:i/>
                <w:sz w:val="24"/>
                <w:szCs w:val="24"/>
              </w:rPr>
            </w:pPr>
            <w:r w:rsidRPr="00E9630B">
              <w:rPr>
                <w:b/>
                <w:i/>
                <w:sz w:val="24"/>
                <w:szCs w:val="24"/>
              </w:rPr>
              <w:t>8. Об одобрении сделок, в совершении которых имеется заинтересованность.</w:t>
            </w:r>
          </w:p>
          <w:p w14:paraId="544728A5" w14:textId="0E9DFE4E" w:rsidR="00E9630B" w:rsidRPr="00E9630B" w:rsidRDefault="00E9630B" w:rsidP="00E9630B">
            <w:pPr>
              <w:pStyle w:val="TableParagraph"/>
              <w:numPr>
                <w:ilvl w:val="1"/>
                <w:numId w:val="2"/>
              </w:numPr>
              <w:tabs>
                <w:tab w:val="left" w:pos="524"/>
              </w:tabs>
              <w:ind w:right="275" w:hanging="28"/>
              <w:jc w:val="both"/>
              <w:rPr>
                <w:b/>
                <w:i/>
                <w:sz w:val="24"/>
                <w:szCs w:val="24"/>
              </w:rPr>
            </w:pPr>
            <w:r w:rsidRPr="00E9630B">
              <w:rPr>
                <w:sz w:val="24"/>
                <w:szCs w:val="24"/>
              </w:rPr>
              <w:t xml:space="preserve">Порядок ознакомления с информацией (материалами), подлежащей предоставлению при подготовке к проведению общего собрания участников (акционеров) эмитента, и адрес, по которому с ней можно ознакомиться: </w:t>
            </w:r>
            <w:r w:rsidRPr="00E9630B">
              <w:rPr>
                <w:b/>
                <w:i/>
                <w:color w:val="000000"/>
                <w:sz w:val="24"/>
                <w:szCs w:val="24"/>
              </w:rPr>
              <w:t>акционеры П</w:t>
            </w:r>
            <w:r w:rsidRPr="00E9630B">
              <w:rPr>
                <w:b/>
                <w:i/>
                <w:sz w:val="24"/>
                <w:szCs w:val="24"/>
              </w:rPr>
              <w:t>АО НК «РуссНефть»</w:t>
            </w:r>
            <w:r w:rsidRPr="00E9630B">
              <w:rPr>
                <w:b/>
                <w:i/>
                <w:color w:val="000000"/>
                <w:sz w:val="24"/>
                <w:szCs w:val="24"/>
              </w:rPr>
              <w:t xml:space="preserve"> могут ознакомиться с материалами, предоставляемыми при подготовке к проведению годового заседания общего собрания акционеров П</w:t>
            </w:r>
            <w:r w:rsidRPr="00E9630B">
              <w:rPr>
                <w:b/>
                <w:i/>
                <w:sz w:val="24"/>
                <w:szCs w:val="24"/>
              </w:rPr>
              <w:t>АО НК «РуссНефть»</w:t>
            </w:r>
            <w:r w:rsidRPr="00E9630B">
              <w:rPr>
                <w:b/>
                <w:i/>
                <w:color w:val="000000"/>
                <w:sz w:val="24"/>
                <w:szCs w:val="24"/>
              </w:rPr>
              <w:t>, начиная с 27 мая 2026 года, с 10.00 до 16.00 по адресу: г. Москва, 115054, ул. Пятницкая, д. 69, а также по месту проведения собрания 26 июня 2026 года.</w:t>
            </w:r>
          </w:p>
          <w:p w14:paraId="48EF31E2" w14:textId="77777777" w:rsidR="00E9630B" w:rsidRPr="00E9630B" w:rsidRDefault="00E9630B" w:rsidP="00E9630B">
            <w:pPr>
              <w:pStyle w:val="TableParagraph"/>
              <w:numPr>
                <w:ilvl w:val="1"/>
                <w:numId w:val="2"/>
              </w:numPr>
              <w:tabs>
                <w:tab w:val="left" w:pos="515"/>
              </w:tabs>
              <w:ind w:right="275" w:firstLine="0"/>
              <w:jc w:val="both"/>
              <w:rPr>
                <w:b/>
                <w:i/>
                <w:sz w:val="24"/>
                <w:szCs w:val="24"/>
              </w:rPr>
            </w:pPr>
            <w:r w:rsidRPr="00E9630B">
              <w:rPr>
                <w:sz w:val="24"/>
                <w:szCs w:val="24"/>
              </w:rPr>
              <w:t xml:space="preserve">Идентификационные признаки акций, владельцы которых имеют право на участие в общем собрании акционеров эмитента: </w:t>
            </w:r>
            <w:r w:rsidRPr="00E9630B">
              <w:rPr>
                <w:b/>
                <w:i/>
                <w:sz w:val="24"/>
                <w:szCs w:val="24"/>
              </w:rPr>
              <w:t>акции обыкновенные именные бездокументарные, государственный регистрационный номер 1-02-39134-Н, дата государственной регистрации 05.10.2016; международный код (номер) идентификации ценных бумаг (ISIN): RU000А0JSE60, международный код классификации финансовых инструментов (CFI): ESVXFR.</w:t>
            </w:r>
          </w:p>
          <w:p w14:paraId="1B59932E" w14:textId="77777777" w:rsidR="00E9630B" w:rsidRPr="00E9630B" w:rsidRDefault="00E9630B" w:rsidP="00E9630B">
            <w:pPr>
              <w:pStyle w:val="TableParagraph"/>
              <w:numPr>
                <w:ilvl w:val="1"/>
                <w:numId w:val="2"/>
              </w:numPr>
              <w:tabs>
                <w:tab w:val="left" w:pos="592"/>
              </w:tabs>
              <w:ind w:right="275" w:firstLine="0"/>
              <w:jc w:val="both"/>
              <w:rPr>
                <w:b/>
                <w:i/>
                <w:sz w:val="24"/>
                <w:szCs w:val="24"/>
              </w:rPr>
            </w:pPr>
            <w:r w:rsidRPr="00E9630B">
              <w:rPr>
                <w:sz w:val="24"/>
                <w:szCs w:val="24"/>
              </w:rPr>
              <w:t>Лицо или орган управления эмитента, принявшее (принявший) решение о созыве общего собрания участников (акционеров) эмитента, и дата принятия решения, а если таким органом эмитента является его коллегиальный исполнительный орган или совет директоров</w:t>
            </w:r>
            <w:r w:rsidRPr="00E9630B">
              <w:rPr>
                <w:spacing w:val="-3"/>
                <w:sz w:val="24"/>
                <w:szCs w:val="24"/>
              </w:rPr>
              <w:t xml:space="preserve"> </w:t>
            </w:r>
            <w:r w:rsidRPr="00E9630B">
              <w:rPr>
                <w:sz w:val="24"/>
                <w:szCs w:val="24"/>
              </w:rPr>
              <w:t>(наблюдательный</w:t>
            </w:r>
            <w:r w:rsidRPr="00E9630B">
              <w:rPr>
                <w:spacing w:val="-2"/>
                <w:sz w:val="24"/>
                <w:szCs w:val="24"/>
              </w:rPr>
              <w:t xml:space="preserve"> </w:t>
            </w:r>
            <w:r w:rsidRPr="00E9630B">
              <w:rPr>
                <w:sz w:val="24"/>
                <w:szCs w:val="24"/>
              </w:rPr>
              <w:t>совет) -</w:t>
            </w:r>
            <w:r w:rsidRPr="00E9630B">
              <w:rPr>
                <w:spacing w:val="-1"/>
                <w:sz w:val="24"/>
                <w:szCs w:val="24"/>
              </w:rPr>
              <w:t xml:space="preserve"> </w:t>
            </w:r>
            <w:r w:rsidRPr="00E9630B">
              <w:rPr>
                <w:sz w:val="24"/>
                <w:szCs w:val="24"/>
              </w:rPr>
              <w:t>также</w:t>
            </w:r>
            <w:r w:rsidRPr="00E9630B">
              <w:rPr>
                <w:spacing w:val="-2"/>
                <w:sz w:val="24"/>
                <w:szCs w:val="24"/>
              </w:rPr>
              <w:t xml:space="preserve"> </w:t>
            </w:r>
            <w:r w:rsidRPr="00E9630B">
              <w:rPr>
                <w:sz w:val="24"/>
                <w:szCs w:val="24"/>
              </w:rPr>
              <w:t>дата</w:t>
            </w:r>
            <w:r w:rsidRPr="00E9630B">
              <w:rPr>
                <w:spacing w:val="-2"/>
                <w:sz w:val="24"/>
                <w:szCs w:val="24"/>
              </w:rPr>
              <w:t xml:space="preserve"> </w:t>
            </w:r>
            <w:r w:rsidRPr="00E9630B">
              <w:rPr>
                <w:sz w:val="24"/>
                <w:szCs w:val="24"/>
              </w:rPr>
              <w:t>составления</w:t>
            </w:r>
            <w:r w:rsidRPr="00E9630B">
              <w:rPr>
                <w:spacing w:val="-1"/>
                <w:sz w:val="24"/>
                <w:szCs w:val="24"/>
              </w:rPr>
              <w:t xml:space="preserve"> </w:t>
            </w:r>
            <w:r w:rsidRPr="00E9630B">
              <w:rPr>
                <w:sz w:val="24"/>
                <w:szCs w:val="24"/>
              </w:rPr>
              <w:t>и</w:t>
            </w:r>
            <w:r w:rsidRPr="00E9630B">
              <w:rPr>
                <w:spacing w:val="-2"/>
                <w:sz w:val="24"/>
                <w:szCs w:val="24"/>
              </w:rPr>
              <w:t xml:space="preserve"> </w:t>
            </w:r>
            <w:r w:rsidRPr="00E9630B">
              <w:rPr>
                <w:sz w:val="24"/>
                <w:szCs w:val="24"/>
              </w:rPr>
              <w:t>номер</w:t>
            </w:r>
            <w:r w:rsidRPr="00E9630B">
              <w:rPr>
                <w:spacing w:val="-1"/>
                <w:sz w:val="24"/>
                <w:szCs w:val="24"/>
              </w:rPr>
              <w:t xml:space="preserve"> </w:t>
            </w:r>
            <w:r w:rsidRPr="00E9630B">
              <w:rPr>
                <w:sz w:val="24"/>
                <w:szCs w:val="24"/>
              </w:rPr>
              <w:t>протокола</w:t>
            </w:r>
            <w:r w:rsidRPr="00E9630B">
              <w:rPr>
                <w:spacing w:val="-2"/>
                <w:sz w:val="24"/>
                <w:szCs w:val="24"/>
              </w:rPr>
              <w:t xml:space="preserve"> </w:t>
            </w:r>
            <w:r w:rsidRPr="00E9630B">
              <w:rPr>
                <w:sz w:val="24"/>
                <w:szCs w:val="24"/>
              </w:rPr>
              <w:t>заседания</w:t>
            </w:r>
            <w:r w:rsidRPr="00E9630B">
              <w:rPr>
                <w:spacing w:val="-1"/>
                <w:sz w:val="24"/>
                <w:szCs w:val="24"/>
              </w:rPr>
              <w:t xml:space="preserve"> </w:t>
            </w:r>
            <w:r w:rsidRPr="00E9630B">
              <w:rPr>
                <w:sz w:val="24"/>
                <w:szCs w:val="24"/>
              </w:rPr>
              <w:t>коллегиального</w:t>
            </w:r>
            <w:r w:rsidRPr="00E9630B">
              <w:rPr>
                <w:spacing w:val="-1"/>
                <w:sz w:val="24"/>
                <w:szCs w:val="24"/>
              </w:rPr>
              <w:t xml:space="preserve"> </w:t>
            </w:r>
            <w:r w:rsidRPr="00E9630B">
              <w:rPr>
                <w:sz w:val="24"/>
                <w:szCs w:val="24"/>
              </w:rPr>
              <w:t>исполнительного</w:t>
            </w:r>
            <w:r w:rsidRPr="00E9630B">
              <w:rPr>
                <w:spacing w:val="-1"/>
                <w:sz w:val="24"/>
                <w:szCs w:val="24"/>
              </w:rPr>
              <w:t xml:space="preserve"> </w:t>
            </w:r>
            <w:r w:rsidRPr="00E9630B">
              <w:rPr>
                <w:sz w:val="24"/>
                <w:szCs w:val="24"/>
              </w:rPr>
              <w:t xml:space="preserve">органа или совета директоров (наблюдательного совета) эмитента, на котором принято указанное решение: </w:t>
            </w:r>
            <w:r w:rsidRPr="00E9630B">
              <w:rPr>
                <w:b/>
                <w:i/>
                <w:sz w:val="24"/>
                <w:szCs w:val="24"/>
              </w:rPr>
              <w:t>решение принято Советом директоров 25.05.2026 (Протокол от 25.05.2026 № 28).</w:t>
            </w:r>
          </w:p>
          <w:p w14:paraId="56700AA6" w14:textId="77777777" w:rsidR="00E9630B" w:rsidRPr="00E9630B" w:rsidRDefault="00E9630B" w:rsidP="00E9630B">
            <w:pPr>
              <w:pStyle w:val="TableParagraph"/>
              <w:numPr>
                <w:ilvl w:val="1"/>
                <w:numId w:val="2"/>
              </w:numPr>
              <w:tabs>
                <w:tab w:val="left" w:pos="643"/>
              </w:tabs>
              <w:ind w:right="275" w:firstLine="0"/>
              <w:jc w:val="both"/>
              <w:rPr>
                <w:sz w:val="24"/>
                <w:szCs w:val="24"/>
              </w:rPr>
            </w:pPr>
            <w:r w:rsidRPr="00E9630B">
              <w:rPr>
                <w:sz w:val="24"/>
                <w:szCs w:val="24"/>
              </w:rPr>
              <w:t>Наименование суда, вынесшего решение о понуждении эмитента провести внеочередное общее собрание участников (акционеров),</w:t>
            </w:r>
            <w:r w:rsidRPr="00E9630B">
              <w:rPr>
                <w:spacing w:val="39"/>
                <w:sz w:val="24"/>
                <w:szCs w:val="24"/>
              </w:rPr>
              <w:t xml:space="preserve"> </w:t>
            </w:r>
            <w:r w:rsidRPr="00E9630B">
              <w:rPr>
                <w:sz w:val="24"/>
                <w:szCs w:val="24"/>
              </w:rPr>
              <w:t>дата</w:t>
            </w:r>
            <w:r w:rsidRPr="00E9630B">
              <w:rPr>
                <w:spacing w:val="39"/>
                <w:sz w:val="24"/>
                <w:szCs w:val="24"/>
              </w:rPr>
              <w:t xml:space="preserve"> </w:t>
            </w:r>
            <w:r w:rsidRPr="00E9630B">
              <w:rPr>
                <w:sz w:val="24"/>
                <w:szCs w:val="24"/>
              </w:rPr>
              <w:t>и</w:t>
            </w:r>
            <w:r w:rsidRPr="00E9630B">
              <w:rPr>
                <w:spacing w:val="38"/>
                <w:sz w:val="24"/>
                <w:szCs w:val="24"/>
              </w:rPr>
              <w:t xml:space="preserve"> </w:t>
            </w:r>
            <w:r w:rsidRPr="00E9630B">
              <w:rPr>
                <w:sz w:val="24"/>
                <w:szCs w:val="24"/>
              </w:rPr>
              <w:t>иные</w:t>
            </w:r>
            <w:r w:rsidRPr="00E9630B">
              <w:rPr>
                <w:spacing w:val="38"/>
                <w:sz w:val="24"/>
                <w:szCs w:val="24"/>
              </w:rPr>
              <w:t xml:space="preserve"> </w:t>
            </w:r>
            <w:r w:rsidRPr="00E9630B">
              <w:rPr>
                <w:sz w:val="24"/>
                <w:szCs w:val="24"/>
              </w:rPr>
              <w:t>реквизиты</w:t>
            </w:r>
            <w:r w:rsidRPr="00E9630B">
              <w:rPr>
                <w:spacing w:val="38"/>
                <w:sz w:val="24"/>
                <w:szCs w:val="24"/>
              </w:rPr>
              <w:t xml:space="preserve"> </w:t>
            </w:r>
            <w:r w:rsidRPr="00E9630B">
              <w:rPr>
                <w:sz w:val="24"/>
                <w:szCs w:val="24"/>
              </w:rPr>
              <w:t>(при</w:t>
            </w:r>
            <w:r w:rsidRPr="00E9630B">
              <w:rPr>
                <w:spacing w:val="38"/>
                <w:sz w:val="24"/>
                <w:szCs w:val="24"/>
              </w:rPr>
              <w:t xml:space="preserve"> </w:t>
            </w:r>
            <w:r w:rsidRPr="00E9630B">
              <w:rPr>
                <w:sz w:val="24"/>
                <w:szCs w:val="24"/>
              </w:rPr>
              <w:t>наличии)</w:t>
            </w:r>
            <w:r w:rsidRPr="00E9630B">
              <w:rPr>
                <w:spacing w:val="39"/>
                <w:sz w:val="24"/>
                <w:szCs w:val="24"/>
              </w:rPr>
              <w:t xml:space="preserve"> </w:t>
            </w:r>
            <w:r w:rsidRPr="00E9630B">
              <w:rPr>
                <w:sz w:val="24"/>
                <w:szCs w:val="24"/>
              </w:rPr>
              <w:t>такого</w:t>
            </w:r>
            <w:r w:rsidRPr="00E9630B">
              <w:rPr>
                <w:spacing w:val="41"/>
                <w:sz w:val="24"/>
                <w:szCs w:val="24"/>
              </w:rPr>
              <w:t xml:space="preserve"> </w:t>
            </w:r>
            <w:r w:rsidRPr="00E9630B">
              <w:rPr>
                <w:sz w:val="24"/>
                <w:szCs w:val="24"/>
              </w:rPr>
              <w:t>решения,</w:t>
            </w:r>
            <w:r w:rsidRPr="00E9630B">
              <w:rPr>
                <w:spacing w:val="39"/>
                <w:sz w:val="24"/>
                <w:szCs w:val="24"/>
              </w:rPr>
              <w:t xml:space="preserve"> </w:t>
            </w:r>
            <w:r w:rsidRPr="00E9630B">
              <w:rPr>
                <w:sz w:val="24"/>
                <w:szCs w:val="24"/>
              </w:rPr>
              <w:t>в</w:t>
            </w:r>
            <w:r w:rsidRPr="00E9630B">
              <w:rPr>
                <w:spacing w:val="38"/>
                <w:sz w:val="24"/>
                <w:szCs w:val="24"/>
              </w:rPr>
              <w:t xml:space="preserve"> </w:t>
            </w:r>
            <w:r w:rsidRPr="00E9630B">
              <w:rPr>
                <w:sz w:val="24"/>
                <w:szCs w:val="24"/>
              </w:rPr>
              <w:t>случае</w:t>
            </w:r>
            <w:r w:rsidRPr="00E9630B">
              <w:rPr>
                <w:spacing w:val="38"/>
                <w:sz w:val="24"/>
                <w:szCs w:val="24"/>
              </w:rPr>
              <w:t xml:space="preserve"> </w:t>
            </w:r>
            <w:r w:rsidRPr="00E9630B">
              <w:rPr>
                <w:sz w:val="24"/>
                <w:szCs w:val="24"/>
              </w:rPr>
              <w:t>если</w:t>
            </w:r>
            <w:r w:rsidRPr="00E9630B">
              <w:rPr>
                <w:spacing w:val="38"/>
                <w:sz w:val="24"/>
                <w:szCs w:val="24"/>
              </w:rPr>
              <w:t xml:space="preserve"> </w:t>
            </w:r>
            <w:r w:rsidRPr="00E9630B">
              <w:rPr>
                <w:sz w:val="24"/>
                <w:szCs w:val="24"/>
              </w:rPr>
              <w:t>внеочередное</w:t>
            </w:r>
            <w:r w:rsidRPr="00E9630B">
              <w:rPr>
                <w:spacing w:val="38"/>
                <w:sz w:val="24"/>
                <w:szCs w:val="24"/>
              </w:rPr>
              <w:t xml:space="preserve"> </w:t>
            </w:r>
            <w:r w:rsidRPr="00E9630B">
              <w:rPr>
                <w:sz w:val="24"/>
                <w:szCs w:val="24"/>
              </w:rPr>
              <w:t>общее</w:t>
            </w:r>
            <w:r w:rsidRPr="00E9630B">
              <w:rPr>
                <w:spacing w:val="38"/>
                <w:sz w:val="24"/>
                <w:szCs w:val="24"/>
              </w:rPr>
              <w:t xml:space="preserve"> </w:t>
            </w:r>
            <w:r w:rsidRPr="00E9630B">
              <w:rPr>
                <w:sz w:val="24"/>
                <w:szCs w:val="24"/>
              </w:rPr>
              <w:t>собрание</w:t>
            </w:r>
            <w:r w:rsidRPr="00E9630B">
              <w:rPr>
                <w:spacing w:val="39"/>
                <w:sz w:val="24"/>
                <w:szCs w:val="24"/>
              </w:rPr>
              <w:t xml:space="preserve"> </w:t>
            </w:r>
            <w:r w:rsidRPr="00E9630B">
              <w:rPr>
                <w:spacing w:val="-2"/>
                <w:sz w:val="24"/>
                <w:szCs w:val="24"/>
              </w:rPr>
              <w:t>участников</w:t>
            </w:r>
          </w:p>
          <w:p w14:paraId="2BB0A8A7" w14:textId="23557253" w:rsidR="00A90417" w:rsidRPr="00E9630B" w:rsidRDefault="00E9630B" w:rsidP="00E9630B">
            <w:pPr>
              <w:tabs>
                <w:tab w:val="left" w:pos="0"/>
                <w:tab w:val="left" w:pos="3960"/>
                <w:tab w:val="left" w:pos="6300"/>
              </w:tabs>
              <w:ind w:right="275" w:firstLine="142"/>
              <w:rPr>
                <w:b/>
                <w:i/>
                <w:sz w:val="24"/>
                <w:szCs w:val="24"/>
              </w:rPr>
            </w:pPr>
            <w:r w:rsidRPr="00E9630B">
              <w:rPr>
                <w:sz w:val="24"/>
                <w:szCs w:val="24"/>
              </w:rPr>
              <w:t>(акционеров)</w:t>
            </w:r>
            <w:r w:rsidRPr="00E9630B">
              <w:rPr>
                <w:spacing w:val="-6"/>
                <w:sz w:val="24"/>
                <w:szCs w:val="24"/>
              </w:rPr>
              <w:t xml:space="preserve"> </w:t>
            </w:r>
            <w:r w:rsidRPr="00E9630B">
              <w:rPr>
                <w:sz w:val="24"/>
                <w:szCs w:val="24"/>
              </w:rPr>
              <w:t>эмитента</w:t>
            </w:r>
            <w:r w:rsidRPr="00E9630B">
              <w:rPr>
                <w:spacing w:val="-3"/>
                <w:sz w:val="24"/>
                <w:szCs w:val="24"/>
              </w:rPr>
              <w:t xml:space="preserve"> </w:t>
            </w:r>
            <w:r w:rsidRPr="00E9630B">
              <w:rPr>
                <w:sz w:val="24"/>
                <w:szCs w:val="24"/>
              </w:rPr>
              <w:t>проводится</w:t>
            </w:r>
            <w:r w:rsidRPr="00E9630B">
              <w:rPr>
                <w:spacing w:val="-2"/>
                <w:sz w:val="24"/>
                <w:szCs w:val="24"/>
              </w:rPr>
              <w:t xml:space="preserve"> </w:t>
            </w:r>
            <w:r w:rsidRPr="00E9630B">
              <w:rPr>
                <w:sz w:val="24"/>
                <w:szCs w:val="24"/>
              </w:rPr>
              <w:t>во</w:t>
            </w:r>
            <w:r w:rsidRPr="00E9630B">
              <w:rPr>
                <w:spacing w:val="-2"/>
                <w:sz w:val="24"/>
                <w:szCs w:val="24"/>
              </w:rPr>
              <w:t xml:space="preserve"> </w:t>
            </w:r>
            <w:r w:rsidRPr="00E9630B">
              <w:rPr>
                <w:sz w:val="24"/>
                <w:szCs w:val="24"/>
              </w:rPr>
              <w:t>исполнение</w:t>
            </w:r>
            <w:r w:rsidRPr="00E9630B">
              <w:rPr>
                <w:spacing w:val="-5"/>
                <w:sz w:val="24"/>
                <w:szCs w:val="24"/>
              </w:rPr>
              <w:t xml:space="preserve"> </w:t>
            </w:r>
            <w:r w:rsidRPr="00E9630B">
              <w:rPr>
                <w:sz w:val="24"/>
                <w:szCs w:val="24"/>
              </w:rPr>
              <w:t>решения</w:t>
            </w:r>
            <w:r w:rsidRPr="00E9630B">
              <w:rPr>
                <w:spacing w:val="-2"/>
                <w:sz w:val="24"/>
                <w:szCs w:val="24"/>
              </w:rPr>
              <w:t xml:space="preserve"> </w:t>
            </w:r>
            <w:r w:rsidRPr="00E9630B">
              <w:rPr>
                <w:sz w:val="24"/>
                <w:szCs w:val="24"/>
              </w:rPr>
              <w:t>суда:</w:t>
            </w:r>
            <w:r w:rsidRPr="00E9630B">
              <w:rPr>
                <w:spacing w:val="2"/>
                <w:sz w:val="24"/>
                <w:szCs w:val="24"/>
              </w:rPr>
              <w:t xml:space="preserve"> </w:t>
            </w:r>
            <w:r w:rsidRPr="00E9630B">
              <w:rPr>
                <w:b/>
                <w:i/>
                <w:sz w:val="24"/>
                <w:szCs w:val="24"/>
              </w:rPr>
              <w:t>не</w:t>
            </w:r>
            <w:r w:rsidRPr="00E9630B">
              <w:rPr>
                <w:b/>
                <w:i/>
                <w:spacing w:val="-4"/>
                <w:sz w:val="24"/>
                <w:szCs w:val="24"/>
              </w:rPr>
              <w:t xml:space="preserve"> </w:t>
            </w:r>
            <w:r w:rsidRPr="00E9630B">
              <w:rPr>
                <w:b/>
                <w:i/>
                <w:spacing w:val="-2"/>
                <w:sz w:val="24"/>
                <w:szCs w:val="24"/>
              </w:rPr>
              <w:t>применимо.</w:t>
            </w:r>
          </w:p>
        </w:tc>
      </w:tr>
      <w:tr w:rsidR="003E35C9" w14:paraId="6E8CB108" w14:textId="77777777" w:rsidTr="008652D0">
        <w:trPr>
          <w:cantSplit/>
          <w:trHeight w:val="205"/>
        </w:trPr>
        <w:tc>
          <w:tcPr>
            <w:tcW w:w="10773" w:type="dxa"/>
            <w:gridSpan w:val="2"/>
            <w:tcBorders>
              <w:bottom w:val="single" w:sz="4" w:space="0" w:color="auto"/>
            </w:tcBorders>
          </w:tcPr>
          <w:p w14:paraId="51F63CF0" w14:textId="77777777" w:rsidR="003E35C9" w:rsidRDefault="00277DF0">
            <w:pPr>
              <w:pStyle w:val="TableParagraph"/>
              <w:spacing w:line="185" w:lineRule="exact"/>
              <w:ind w:left="4836"/>
              <w:rPr>
                <w:sz w:val="18"/>
              </w:rPr>
            </w:pPr>
            <w:r>
              <w:rPr>
                <w:sz w:val="18"/>
              </w:rPr>
              <w:t>3.</w:t>
            </w:r>
            <w:r>
              <w:rPr>
                <w:spacing w:val="1"/>
                <w:sz w:val="18"/>
              </w:rPr>
              <w:t xml:space="preserve"> </w:t>
            </w:r>
            <w:r>
              <w:rPr>
                <w:spacing w:val="-2"/>
                <w:sz w:val="18"/>
              </w:rPr>
              <w:t>Подпись</w:t>
            </w:r>
          </w:p>
        </w:tc>
      </w:tr>
      <w:tr w:rsidR="003E35C9" w14:paraId="4C322AD5" w14:textId="77777777" w:rsidTr="008652D0">
        <w:trPr>
          <w:cantSplit/>
          <w:trHeight w:val="1919"/>
        </w:trPr>
        <w:tc>
          <w:tcPr>
            <w:tcW w:w="10773" w:type="dxa"/>
            <w:gridSpan w:val="2"/>
            <w:tcBorders>
              <w:top w:val="single" w:sz="4" w:space="0" w:color="auto"/>
            </w:tcBorders>
          </w:tcPr>
          <w:tbl>
            <w:tblPr>
              <w:tblW w:w="10768" w:type="dxa"/>
              <w:tblLayout w:type="fixed"/>
              <w:tblLook w:val="0000" w:firstRow="0" w:lastRow="0" w:firstColumn="0" w:lastColumn="0" w:noHBand="0" w:noVBand="0"/>
            </w:tblPr>
            <w:tblGrid>
              <w:gridCol w:w="1216"/>
              <w:gridCol w:w="355"/>
              <w:gridCol w:w="380"/>
              <w:gridCol w:w="1305"/>
              <w:gridCol w:w="412"/>
              <w:gridCol w:w="431"/>
              <w:gridCol w:w="323"/>
              <w:gridCol w:w="3542"/>
              <w:gridCol w:w="236"/>
              <w:gridCol w:w="2568"/>
            </w:tblGrid>
            <w:tr w:rsidR="008652D0" w:rsidRPr="0030682E" w14:paraId="042DD55C" w14:textId="77777777" w:rsidTr="00CD4026">
              <w:trPr>
                <w:cantSplit/>
                <w:trHeight w:val="1364"/>
              </w:trPr>
              <w:tc>
                <w:tcPr>
                  <w:tcW w:w="4422" w:type="dxa"/>
                  <w:gridSpan w:val="7"/>
                  <w:tcBorders>
                    <w:top w:val="single" w:sz="4" w:space="0" w:color="auto"/>
                    <w:left w:val="single" w:sz="4" w:space="0" w:color="auto"/>
                    <w:bottom w:val="nil"/>
                    <w:right w:val="nil"/>
                  </w:tcBorders>
                  <w:vAlign w:val="bottom"/>
                </w:tcPr>
                <w:p w14:paraId="07FDA567" w14:textId="77777777" w:rsidR="008652D0" w:rsidRPr="00103295" w:rsidRDefault="008652D0" w:rsidP="008652D0">
                  <w:pPr>
                    <w:ind w:left="57"/>
                  </w:pPr>
                </w:p>
                <w:p w14:paraId="28BF07FB" w14:textId="77777777" w:rsidR="008652D0" w:rsidRPr="00103295" w:rsidRDefault="008652D0" w:rsidP="008652D0">
                  <w:pPr>
                    <w:ind w:left="57"/>
                  </w:pPr>
                </w:p>
                <w:p w14:paraId="43A1FE6D" w14:textId="77777777" w:rsidR="008652D0" w:rsidRPr="00103295" w:rsidRDefault="008652D0" w:rsidP="008652D0">
                  <w:pPr>
                    <w:ind w:left="57"/>
                  </w:pPr>
                </w:p>
                <w:p w14:paraId="267064B0" w14:textId="38AA780F" w:rsidR="008652D0" w:rsidRPr="00D06322" w:rsidRDefault="008652D0" w:rsidP="008652D0">
                  <w:pPr>
                    <w:tabs>
                      <w:tab w:val="left" w:pos="567"/>
                    </w:tabs>
                    <w:rPr>
                      <w:b/>
                      <w:sz w:val="20"/>
                      <w:szCs w:val="20"/>
                    </w:rPr>
                  </w:pPr>
                  <w:r w:rsidRPr="00103295">
                    <w:t>3.1.</w:t>
                  </w:r>
                  <w:r w:rsidRPr="00103295">
                    <w:rPr>
                      <w:b/>
                    </w:rPr>
                    <w:t xml:space="preserve"> </w:t>
                  </w:r>
                  <w:r w:rsidRPr="00103295">
                    <w:t>Вице</w:t>
                  </w:r>
                  <w:r w:rsidRPr="00103295">
                    <w:rPr>
                      <w:b/>
                    </w:rPr>
                    <w:t>-</w:t>
                  </w:r>
                  <w:r w:rsidRPr="00103295">
                    <w:t xml:space="preserve">президент </w:t>
                  </w:r>
                  <w:r w:rsidRPr="00103295">
                    <w:rPr>
                      <w:rStyle w:val="SUBST"/>
                      <w:b w:val="0"/>
                      <w:i w:val="0"/>
                    </w:rPr>
                    <w:t xml:space="preserve">  ПАО НК «РуссНефть»</w:t>
                  </w:r>
                </w:p>
              </w:tc>
              <w:tc>
                <w:tcPr>
                  <w:tcW w:w="3542" w:type="dxa"/>
                  <w:tcBorders>
                    <w:top w:val="single" w:sz="4" w:space="0" w:color="auto"/>
                    <w:left w:val="nil"/>
                    <w:bottom w:val="single" w:sz="4" w:space="0" w:color="auto"/>
                    <w:right w:val="nil"/>
                  </w:tcBorders>
                  <w:vAlign w:val="bottom"/>
                </w:tcPr>
                <w:p w14:paraId="40D37341" w14:textId="7ECCB6D4" w:rsidR="008652D0" w:rsidRPr="0030682E" w:rsidRDefault="008652D0" w:rsidP="008652D0">
                  <w:pPr>
                    <w:tabs>
                      <w:tab w:val="left" w:pos="567"/>
                    </w:tabs>
                    <w:jc w:val="center"/>
                    <w:rPr>
                      <w:noProof/>
                    </w:rPr>
                  </w:pPr>
                </w:p>
              </w:tc>
              <w:tc>
                <w:tcPr>
                  <w:tcW w:w="236" w:type="dxa"/>
                  <w:tcBorders>
                    <w:top w:val="single" w:sz="4" w:space="0" w:color="auto"/>
                    <w:left w:val="nil"/>
                    <w:bottom w:val="nil"/>
                    <w:right w:val="nil"/>
                  </w:tcBorders>
                  <w:vAlign w:val="bottom"/>
                </w:tcPr>
                <w:p w14:paraId="0AF94AC0" w14:textId="77777777" w:rsidR="008652D0" w:rsidRPr="0030682E" w:rsidRDefault="008652D0" w:rsidP="008652D0">
                  <w:pPr>
                    <w:tabs>
                      <w:tab w:val="left" w:pos="567"/>
                    </w:tabs>
                  </w:pPr>
                </w:p>
              </w:tc>
              <w:tc>
                <w:tcPr>
                  <w:tcW w:w="2568" w:type="dxa"/>
                  <w:tcBorders>
                    <w:top w:val="single" w:sz="4" w:space="0" w:color="auto"/>
                    <w:left w:val="nil"/>
                    <w:bottom w:val="nil"/>
                    <w:right w:val="nil"/>
                  </w:tcBorders>
                  <w:vAlign w:val="bottom"/>
                </w:tcPr>
                <w:p w14:paraId="009090B6" w14:textId="1BFFFDE3" w:rsidR="008652D0" w:rsidRPr="0030682E" w:rsidRDefault="008652D0" w:rsidP="008652D0">
                  <w:pPr>
                    <w:tabs>
                      <w:tab w:val="left" w:pos="567"/>
                    </w:tabs>
                    <w:rPr>
                      <w:b/>
                    </w:rPr>
                  </w:pPr>
                  <w:r w:rsidRPr="00103295">
                    <w:t>Д.В. Романов</w:t>
                  </w:r>
                </w:p>
              </w:tc>
            </w:tr>
            <w:tr w:rsidR="008652D0" w:rsidRPr="0030682E" w14:paraId="03636A95" w14:textId="77777777" w:rsidTr="00CD4026">
              <w:tblPrEx>
                <w:tblCellMar>
                  <w:left w:w="28" w:type="dxa"/>
                  <w:right w:w="28" w:type="dxa"/>
                </w:tblCellMar>
              </w:tblPrEx>
              <w:trPr>
                <w:cantSplit/>
                <w:trHeight w:hRule="exact" w:val="280"/>
              </w:trPr>
              <w:tc>
                <w:tcPr>
                  <w:tcW w:w="4422" w:type="dxa"/>
                  <w:gridSpan w:val="7"/>
                  <w:tcBorders>
                    <w:top w:val="nil"/>
                    <w:left w:val="single" w:sz="4" w:space="0" w:color="auto"/>
                    <w:bottom w:val="nil"/>
                    <w:right w:val="nil"/>
                  </w:tcBorders>
                </w:tcPr>
                <w:p w14:paraId="6D5EE577" w14:textId="77777777" w:rsidR="008652D0" w:rsidRPr="00D06322" w:rsidRDefault="008652D0" w:rsidP="008652D0">
                  <w:pPr>
                    <w:tabs>
                      <w:tab w:val="left" w:pos="567"/>
                    </w:tabs>
                    <w:rPr>
                      <w:sz w:val="20"/>
                      <w:szCs w:val="20"/>
                    </w:rPr>
                  </w:pPr>
                </w:p>
              </w:tc>
              <w:tc>
                <w:tcPr>
                  <w:tcW w:w="3542" w:type="dxa"/>
                  <w:tcBorders>
                    <w:top w:val="nil"/>
                    <w:left w:val="nil"/>
                    <w:bottom w:val="nil"/>
                    <w:right w:val="nil"/>
                  </w:tcBorders>
                </w:tcPr>
                <w:p w14:paraId="6C95E52A" w14:textId="2984136B" w:rsidR="008652D0" w:rsidRPr="0030682E" w:rsidRDefault="008652D0" w:rsidP="008652D0">
                  <w:pPr>
                    <w:tabs>
                      <w:tab w:val="left" w:pos="567"/>
                    </w:tabs>
                    <w:jc w:val="center"/>
                  </w:pPr>
                  <w:r w:rsidRPr="00103295">
                    <w:t>(подпись)</w:t>
                  </w:r>
                </w:p>
              </w:tc>
              <w:tc>
                <w:tcPr>
                  <w:tcW w:w="236" w:type="dxa"/>
                  <w:tcBorders>
                    <w:top w:val="nil"/>
                    <w:left w:val="nil"/>
                    <w:bottom w:val="nil"/>
                    <w:right w:val="nil"/>
                  </w:tcBorders>
                </w:tcPr>
                <w:p w14:paraId="4D855B7E" w14:textId="77777777" w:rsidR="008652D0" w:rsidRPr="0030682E" w:rsidRDefault="008652D0" w:rsidP="008652D0">
                  <w:pPr>
                    <w:tabs>
                      <w:tab w:val="left" w:pos="567"/>
                    </w:tabs>
                  </w:pPr>
                </w:p>
              </w:tc>
              <w:tc>
                <w:tcPr>
                  <w:tcW w:w="2568" w:type="dxa"/>
                  <w:tcBorders>
                    <w:top w:val="nil"/>
                    <w:left w:val="nil"/>
                    <w:bottom w:val="nil"/>
                    <w:right w:val="nil"/>
                  </w:tcBorders>
                </w:tcPr>
                <w:p w14:paraId="1013C585" w14:textId="77777777" w:rsidR="008652D0" w:rsidRPr="0030682E" w:rsidRDefault="008652D0" w:rsidP="008652D0">
                  <w:pPr>
                    <w:tabs>
                      <w:tab w:val="left" w:pos="567"/>
                    </w:tabs>
                  </w:pPr>
                </w:p>
              </w:tc>
            </w:tr>
            <w:tr w:rsidR="008652D0" w:rsidRPr="0030682E" w14:paraId="513F1077" w14:textId="77777777" w:rsidTr="00A90417">
              <w:tblPrEx>
                <w:tblCellMar>
                  <w:left w:w="28" w:type="dxa"/>
                  <w:right w:w="28" w:type="dxa"/>
                </w:tblCellMar>
              </w:tblPrEx>
              <w:trPr>
                <w:gridAfter w:val="2"/>
                <w:wAfter w:w="2804" w:type="dxa"/>
                <w:cantSplit/>
                <w:trHeight w:val="74"/>
              </w:trPr>
              <w:tc>
                <w:tcPr>
                  <w:tcW w:w="1216" w:type="dxa"/>
                  <w:tcBorders>
                    <w:top w:val="nil"/>
                    <w:left w:val="single" w:sz="4" w:space="0" w:color="auto"/>
                    <w:bottom w:val="nil"/>
                    <w:right w:val="nil"/>
                  </w:tcBorders>
                  <w:vAlign w:val="bottom"/>
                </w:tcPr>
                <w:p w14:paraId="17FC8AE2" w14:textId="62765031" w:rsidR="008652D0" w:rsidRPr="00D06322" w:rsidRDefault="008652D0" w:rsidP="008652D0">
                  <w:pPr>
                    <w:tabs>
                      <w:tab w:val="left" w:pos="567"/>
                    </w:tabs>
                    <w:rPr>
                      <w:sz w:val="20"/>
                      <w:szCs w:val="20"/>
                    </w:rPr>
                  </w:pPr>
                  <w:r w:rsidRPr="00103295">
                    <w:t>3.2. Дата “</w:t>
                  </w:r>
                </w:p>
              </w:tc>
              <w:tc>
                <w:tcPr>
                  <w:tcW w:w="355" w:type="dxa"/>
                  <w:tcBorders>
                    <w:top w:val="nil"/>
                    <w:left w:val="nil"/>
                    <w:bottom w:val="nil"/>
                    <w:right w:val="nil"/>
                  </w:tcBorders>
                  <w:vAlign w:val="bottom"/>
                </w:tcPr>
                <w:p w14:paraId="4E68AEC8" w14:textId="5E86B8D7" w:rsidR="008652D0" w:rsidRPr="00D06322" w:rsidRDefault="008652D0" w:rsidP="008652D0">
                  <w:pPr>
                    <w:tabs>
                      <w:tab w:val="left" w:pos="567"/>
                    </w:tabs>
                    <w:jc w:val="center"/>
                    <w:rPr>
                      <w:sz w:val="20"/>
                      <w:szCs w:val="20"/>
                    </w:rPr>
                  </w:pPr>
                  <w:r>
                    <w:rPr>
                      <w:sz w:val="20"/>
                      <w:szCs w:val="20"/>
                    </w:rPr>
                    <w:t>25</w:t>
                  </w:r>
                </w:p>
              </w:tc>
              <w:tc>
                <w:tcPr>
                  <w:tcW w:w="380" w:type="dxa"/>
                  <w:tcBorders>
                    <w:top w:val="nil"/>
                    <w:left w:val="nil"/>
                    <w:bottom w:val="nil"/>
                    <w:right w:val="nil"/>
                  </w:tcBorders>
                  <w:vAlign w:val="bottom"/>
                </w:tcPr>
                <w:p w14:paraId="21060EB7" w14:textId="4884A45B" w:rsidR="008652D0" w:rsidRPr="00D06322" w:rsidRDefault="008652D0" w:rsidP="008652D0">
                  <w:pPr>
                    <w:tabs>
                      <w:tab w:val="left" w:pos="567"/>
                    </w:tabs>
                    <w:rPr>
                      <w:sz w:val="20"/>
                      <w:szCs w:val="20"/>
                    </w:rPr>
                  </w:pPr>
                  <w:r w:rsidRPr="00103295">
                    <w:t>”</w:t>
                  </w:r>
                </w:p>
              </w:tc>
              <w:tc>
                <w:tcPr>
                  <w:tcW w:w="1305" w:type="dxa"/>
                  <w:tcBorders>
                    <w:top w:val="nil"/>
                    <w:left w:val="nil"/>
                    <w:bottom w:val="nil"/>
                    <w:right w:val="nil"/>
                  </w:tcBorders>
                  <w:vAlign w:val="bottom"/>
                </w:tcPr>
                <w:p w14:paraId="006F5714" w14:textId="2C77453D" w:rsidR="008652D0" w:rsidRPr="00D06322" w:rsidRDefault="008652D0" w:rsidP="008652D0">
                  <w:pPr>
                    <w:tabs>
                      <w:tab w:val="left" w:pos="567"/>
                    </w:tabs>
                    <w:jc w:val="center"/>
                    <w:rPr>
                      <w:sz w:val="20"/>
                      <w:szCs w:val="20"/>
                    </w:rPr>
                  </w:pPr>
                  <w:r>
                    <w:t>мая</w:t>
                  </w:r>
                </w:p>
              </w:tc>
              <w:tc>
                <w:tcPr>
                  <w:tcW w:w="412" w:type="dxa"/>
                  <w:tcBorders>
                    <w:top w:val="nil"/>
                    <w:left w:val="nil"/>
                    <w:bottom w:val="nil"/>
                    <w:right w:val="nil"/>
                  </w:tcBorders>
                  <w:vAlign w:val="bottom"/>
                </w:tcPr>
                <w:p w14:paraId="4A6C5083" w14:textId="30DD655E" w:rsidR="008652D0" w:rsidRPr="00D06322" w:rsidRDefault="008652D0" w:rsidP="008652D0">
                  <w:pPr>
                    <w:tabs>
                      <w:tab w:val="left" w:pos="567"/>
                    </w:tabs>
                    <w:rPr>
                      <w:sz w:val="20"/>
                      <w:szCs w:val="20"/>
                    </w:rPr>
                  </w:pPr>
                  <w:r w:rsidRPr="00103295">
                    <w:t>20</w:t>
                  </w:r>
                </w:p>
              </w:tc>
              <w:tc>
                <w:tcPr>
                  <w:tcW w:w="431" w:type="dxa"/>
                  <w:tcBorders>
                    <w:top w:val="nil"/>
                    <w:left w:val="nil"/>
                    <w:bottom w:val="nil"/>
                    <w:right w:val="nil"/>
                  </w:tcBorders>
                  <w:vAlign w:val="bottom"/>
                </w:tcPr>
                <w:p w14:paraId="38599EEA" w14:textId="38868411" w:rsidR="008652D0" w:rsidRPr="00D06322" w:rsidRDefault="008652D0" w:rsidP="008652D0">
                  <w:pPr>
                    <w:tabs>
                      <w:tab w:val="left" w:pos="567"/>
                    </w:tabs>
                    <w:rPr>
                      <w:sz w:val="20"/>
                      <w:szCs w:val="20"/>
                    </w:rPr>
                  </w:pPr>
                  <w:r w:rsidRPr="00103295">
                    <w:t>26</w:t>
                  </w:r>
                </w:p>
              </w:tc>
              <w:tc>
                <w:tcPr>
                  <w:tcW w:w="323" w:type="dxa"/>
                  <w:tcBorders>
                    <w:top w:val="nil"/>
                    <w:left w:val="nil"/>
                    <w:bottom w:val="nil"/>
                    <w:right w:val="nil"/>
                  </w:tcBorders>
                  <w:vAlign w:val="bottom"/>
                </w:tcPr>
                <w:p w14:paraId="61323678" w14:textId="1B854D81" w:rsidR="008652D0" w:rsidRPr="00D06322" w:rsidRDefault="008652D0" w:rsidP="008652D0">
                  <w:pPr>
                    <w:tabs>
                      <w:tab w:val="left" w:pos="567"/>
                    </w:tabs>
                    <w:rPr>
                      <w:sz w:val="20"/>
                      <w:szCs w:val="20"/>
                    </w:rPr>
                  </w:pPr>
                  <w:r w:rsidRPr="00103295">
                    <w:t>г.</w:t>
                  </w:r>
                </w:p>
              </w:tc>
              <w:tc>
                <w:tcPr>
                  <w:tcW w:w="3542" w:type="dxa"/>
                  <w:tcBorders>
                    <w:top w:val="nil"/>
                    <w:left w:val="nil"/>
                    <w:bottom w:val="nil"/>
                    <w:right w:val="nil"/>
                  </w:tcBorders>
                  <w:vAlign w:val="bottom"/>
                </w:tcPr>
                <w:p w14:paraId="5E609406" w14:textId="63FB12B8" w:rsidR="008652D0" w:rsidRPr="0030682E" w:rsidRDefault="008652D0" w:rsidP="008652D0">
                  <w:pPr>
                    <w:tabs>
                      <w:tab w:val="left" w:pos="567"/>
                    </w:tabs>
                    <w:jc w:val="center"/>
                  </w:pPr>
                  <w:r w:rsidRPr="00103295">
                    <w:t>М.П.</w:t>
                  </w:r>
                </w:p>
              </w:tc>
            </w:tr>
            <w:tr w:rsidR="00A90417" w:rsidRPr="0030682E" w14:paraId="36F89F61" w14:textId="77777777" w:rsidTr="00CD4026">
              <w:tblPrEx>
                <w:tblCellMar>
                  <w:left w:w="28" w:type="dxa"/>
                  <w:right w:w="28" w:type="dxa"/>
                </w:tblCellMar>
              </w:tblPrEx>
              <w:trPr>
                <w:gridAfter w:val="2"/>
                <w:wAfter w:w="2804" w:type="dxa"/>
                <w:cantSplit/>
                <w:trHeight w:val="74"/>
              </w:trPr>
              <w:tc>
                <w:tcPr>
                  <w:tcW w:w="1216" w:type="dxa"/>
                  <w:tcBorders>
                    <w:top w:val="nil"/>
                    <w:left w:val="single" w:sz="4" w:space="0" w:color="auto"/>
                    <w:bottom w:val="nil"/>
                    <w:right w:val="nil"/>
                  </w:tcBorders>
                  <w:vAlign w:val="bottom"/>
                </w:tcPr>
                <w:p w14:paraId="0F032C3C" w14:textId="77777777" w:rsidR="00A90417" w:rsidRPr="00103295" w:rsidRDefault="00A90417" w:rsidP="008652D0">
                  <w:pPr>
                    <w:tabs>
                      <w:tab w:val="left" w:pos="567"/>
                    </w:tabs>
                  </w:pPr>
                </w:p>
              </w:tc>
              <w:tc>
                <w:tcPr>
                  <w:tcW w:w="355" w:type="dxa"/>
                  <w:tcBorders>
                    <w:top w:val="nil"/>
                    <w:left w:val="nil"/>
                    <w:bottom w:val="single" w:sz="4" w:space="0" w:color="auto"/>
                    <w:right w:val="nil"/>
                  </w:tcBorders>
                  <w:vAlign w:val="bottom"/>
                </w:tcPr>
                <w:p w14:paraId="07C4AA21" w14:textId="77777777" w:rsidR="00A90417" w:rsidRDefault="00A90417" w:rsidP="008652D0">
                  <w:pPr>
                    <w:tabs>
                      <w:tab w:val="left" w:pos="567"/>
                    </w:tabs>
                    <w:jc w:val="center"/>
                    <w:rPr>
                      <w:sz w:val="20"/>
                      <w:szCs w:val="20"/>
                    </w:rPr>
                  </w:pPr>
                </w:p>
              </w:tc>
              <w:tc>
                <w:tcPr>
                  <w:tcW w:w="380" w:type="dxa"/>
                  <w:tcBorders>
                    <w:top w:val="nil"/>
                    <w:left w:val="nil"/>
                    <w:bottom w:val="nil"/>
                    <w:right w:val="nil"/>
                  </w:tcBorders>
                  <w:vAlign w:val="bottom"/>
                </w:tcPr>
                <w:p w14:paraId="1EBF6D89" w14:textId="77777777" w:rsidR="00A90417" w:rsidRPr="00103295" w:rsidRDefault="00A90417" w:rsidP="008652D0">
                  <w:pPr>
                    <w:tabs>
                      <w:tab w:val="left" w:pos="567"/>
                    </w:tabs>
                  </w:pPr>
                </w:p>
              </w:tc>
              <w:tc>
                <w:tcPr>
                  <w:tcW w:w="1305" w:type="dxa"/>
                  <w:tcBorders>
                    <w:top w:val="nil"/>
                    <w:left w:val="nil"/>
                    <w:bottom w:val="single" w:sz="4" w:space="0" w:color="auto"/>
                    <w:right w:val="nil"/>
                  </w:tcBorders>
                  <w:vAlign w:val="bottom"/>
                </w:tcPr>
                <w:p w14:paraId="30D9E76E" w14:textId="77777777" w:rsidR="00A90417" w:rsidRDefault="00A90417" w:rsidP="008652D0">
                  <w:pPr>
                    <w:tabs>
                      <w:tab w:val="left" w:pos="567"/>
                    </w:tabs>
                    <w:jc w:val="center"/>
                  </w:pPr>
                </w:p>
              </w:tc>
              <w:tc>
                <w:tcPr>
                  <w:tcW w:w="412" w:type="dxa"/>
                  <w:tcBorders>
                    <w:top w:val="nil"/>
                    <w:left w:val="nil"/>
                    <w:bottom w:val="nil"/>
                    <w:right w:val="nil"/>
                  </w:tcBorders>
                  <w:vAlign w:val="bottom"/>
                </w:tcPr>
                <w:p w14:paraId="32902574" w14:textId="77777777" w:rsidR="00A90417" w:rsidRPr="00103295" w:rsidRDefault="00A90417" w:rsidP="008652D0">
                  <w:pPr>
                    <w:tabs>
                      <w:tab w:val="left" w:pos="567"/>
                    </w:tabs>
                  </w:pPr>
                </w:p>
              </w:tc>
              <w:tc>
                <w:tcPr>
                  <w:tcW w:w="431" w:type="dxa"/>
                  <w:tcBorders>
                    <w:top w:val="nil"/>
                    <w:left w:val="nil"/>
                    <w:bottom w:val="single" w:sz="4" w:space="0" w:color="auto"/>
                    <w:right w:val="nil"/>
                  </w:tcBorders>
                  <w:vAlign w:val="bottom"/>
                </w:tcPr>
                <w:p w14:paraId="5EF99959" w14:textId="77777777" w:rsidR="00A90417" w:rsidRPr="00103295" w:rsidRDefault="00A90417" w:rsidP="008652D0">
                  <w:pPr>
                    <w:tabs>
                      <w:tab w:val="left" w:pos="567"/>
                    </w:tabs>
                  </w:pPr>
                </w:p>
              </w:tc>
              <w:tc>
                <w:tcPr>
                  <w:tcW w:w="323" w:type="dxa"/>
                  <w:tcBorders>
                    <w:top w:val="nil"/>
                    <w:left w:val="nil"/>
                    <w:bottom w:val="nil"/>
                    <w:right w:val="nil"/>
                  </w:tcBorders>
                  <w:vAlign w:val="bottom"/>
                </w:tcPr>
                <w:p w14:paraId="287CCCBE" w14:textId="77777777" w:rsidR="00A90417" w:rsidRPr="00103295" w:rsidRDefault="00A90417" w:rsidP="008652D0">
                  <w:pPr>
                    <w:tabs>
                      <w:tab w:val="left" w:pos="567"/>
                    </w:tabs>
                  </w:pPr>
                </w:p>
              </w:tc>
              <w:tc>
                <w:tcPr>
                  <w:tcW w:w="3542" w:type="dxa"/>
                  <w:tcBorders>
                    <w:top w:val="nil"/>
                    <w:left w:val="nil"/>
                    <w:bottom w:val="nil"/>
                    <w:right w:val="nil"/>
                  </w:tcBorders>
                  <w:vAlign w:val="bottom"/>
                </w:tcPr>
                <w:p w14:paraId="56C74D98" w14:textId="77777777" w:rsidR="00A90417" w:rsidRPr="00103295" w:rsidRDefault="00A90417" w:rsidP="008652D0">
                  <w:pPr>
                    <w:tabs>
                      <w:tab w:val="left" w:pos="567"/>
                    </w:tabs>
                    <w:jc w:val="center"/>
                  </w:pPr>
                </w:p>
              </w:tc>
            </w:tr>
          </w:tbl>
          <w:p w14:paraId="7B677CF8" w14:textId="77777777" w:rsidR="003E35C9" w:rsidRDefault="003E35C9" w:rsidP="00CC7231">
            <w:pPr>
              <w:pStyle w:val="TableParagraph"/>
              <w:tabs>
                <w:tab w:val="left" w:pos="485"/>
              </w:tabs>
              <w:spacing w:before="33" w:line="191" w:lineRule="exact"/>
              <w:ind w:left="485"/>
              <w:rPr>
                <w:sz w:val="18"/>
              </w:rPr>
            </w:pPr>
          </w:p>
        </w:tc>
      </w:tr>
    </w:tbl>
    <w:p w14:paraId="3BA20738" w14:textId="77777777" w:rsidR="00277DF0" w:rsidRDefault="00277DF0" w:rsidP="0050231D"/>
    <w:sectPr w:rsidR="00277DF0" w:rsidSect="008652D0">
      <w:type w:val="continuous"/>
      <w:pgSz w:w="11910" w:h="16840"/>
      <w:pgMar w:top="709" w:right="440" w:bottom="709"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63590"/>
    <w:multiLevelType w:val="multilevel"/>
    <w:tmpl w:val="CD6AF76C"/>
    <w:lvl w:ilvl="0">
      <w:start w:val="2"/>
      <w:numFmt w:val="decimal"/>
      <w:lvlText w:val="%1"/>
      <w:lvlJc w:val="left"/>
      <w:pPr>
        <w:ind w:left="170" w:hanging="336"/>
      </w:pPr>
      <w:rPr>
        <w:rFonts w:hint="default"/>
        <w:lang w:val="ru-RU" w:eastAsia="en-US" w:bidi="ar-SA"/>
      </w:rPr>
    </w:lvl>
    <w:lvl w:ilvl="1">
      <w:start w:val="6"/>
      <w:numFmt w:val="decimal"/>
      <w:lvlText w:val="%1.%2."/>
      <w:lvlJc w:val="left"/>
      <w:pPr>
        <w:ind w:left="170" w:hanging="336"/>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3."/>
      <w:lvlJc w:val="left"/>
      <w:pPr>
        <w:ind w:left="494" w:hanging="183"/>
      </w:pPr>
      <w:rPr>
        <w:rFonts w:ascii="Times New Roman" w:eastAsia="Times New Roman" w:hAnsi="Times New Roman" w:cs="Times New Roman" w:hint="default"/>
        <w:b/>
        <w:bCs/>
        <w:i/>
        <w:iCs/>
        <w:spacing w:val="0"/>
        <w:w w:val="100"/>
        <w:sz w:val="18"/>
        <w:szCs w:val="18"/>
        <w:lang w:val="ru-RU" w:eastAsia="en-US" w:bidi="ar-SA"/>
      </w:rPr>
    </w:lvl>
    <w:lvl w:ilvl="3">
      <w:numFmt w:val="bullet"/>
      <w:lvlText w:val="•"/>
      <w:lvlJc w:val="left"/>
      <w:pPr>
        <w:ind w:left="2724" w:hanging="183"/>
      </w:pPr>
      <w:rPr>
        <w:rFonts w:hint="default"/>
        <w:lang w:val="ru-RU" w:eastAsia="en-US" w:bidi="ar-SA"/>
      </w:rPr>
    </w:lvl>
    <w:lvl w:ilvl="4">
      <w:numFmt w:val="bullet"/>
      <w:lvlText w:val="•"/>
      <w:lvlJc w:val="left"/>
      <w:pPr>
        <w:ind w:left="3837" w:hanging="183"/>
      </w:pPr>
      <w:rPr>
        <w:rFonts w:hint="default"/>
        <w:lang w:val="ru-RU" w:eastAsia="en-US" w:bidi="ar-SA"/>
      </w:rPr>
    </w:lvl>
    <w:lvl w:ilvl="5">
      <w:numFmt w:val="bullet"/>
      <w:lvlText w:val="•"/>
      <w:lvlJc w:val="left"/>
      <w:pPr>
        <w:ind w:left="4949" w:hanging="183"/>
      </w:pPr>
      <w:rPr>
        <w:rFonts w:hint="default"/>
        <w:lang w:val="ru-RU" w:eastAsia="en-US" w:bidi="ar-SA"/>
      </w:rPr>
    </w:lvl>
    <w:lvl w:ilvl="6">
      <w:numFmt w:val="bullet"/>
      <w:lvlText w:val="•"/>
      <w:lvlJc w:val="left"/>
      <w:pPr>
        <w:ind w:left="6062" w:hanging="183"/>
      </w:pPr>
      <w:rPr>
        <w:rFonts w:hint="default"/>
        <w:lang w:val="ru-RU" w:eastAsia="en-US" w:bidi="ar-SA"/>
      </w:rPr>
    </w:lvl>
    <w:lvl w:ilvl="7">
      <w:numFmt w:val="bullet"/>
      <w:lvlText w:val="•"/>
      <w:lvlJc w:val="left"/>
      <w:pPr>
        <w:ind w:left="7174" w:hanging="183"/>
      </w:pPr>
      <w:rPr>
        <w:rFonts w:hint="default"/>
        <w:lang w:val="ru-RU" w:eastAsia="en-US" w:bidi="ar-SA"/>
      </w:rPr>
    </w:lvl>
    <w:lvl w:ilvl="8">
      <w:numFmt w:val="bullet"/>
      <w:lvlText w:val="•"/>
      <w:lvlJc w:val="left"/>
      <w:pPr>
        <w:ind w:left="8287" w:hanging="183"/>
      </w:pPr>
      <w:rPr>
        <w:rFonts w:hint="default"/>
        <w:lang w:val="ru-RU" w:eastAsia="en-US" w:bidi="ar-SA"/>
      </w:rPr>
    </w:lvl>
  </w:abstractNum>
  <w:abstractNum w:abstractNumId="1" w15:restartNumberingAfterBreak="0">
    <w:nsid w:val="147F77AE"/>
    <w:multiLevelType w:val="multilevel"/>
    <w:tmpl w:val="915E683C"/>
    <w:lvl w:ilvl="0">
      <w:start w:val="2"/>
      <w:numFmt w:val="decimal"/>
      <w:lvlText w:val="%1"/>
      <w:lvlJc w:val="left"/>
      <w:pPr>
        <w:ind w:left="170" w:hanging="379"/>
      </w:pPr>
      <w:rPr>
        <w:rFonts w:hint="default"/>
        <w:lang w:val="ru-RU" w:eastAsia="en-US" w:bidi="ar-SA"/>
      </w:rPr>
    </w:lvl>
    <w:lvl w:ilvl="1">
      <w:start w:val="1"/>
      <w:numFmt w:val="decimal"/>
      <w:lvlText w:val="%1.%2."/>
      <w:lvlJc w:val="left"/>
      <w:pPr>
        <w:ind w:left="170" w:hanging="379"/>
      </w:pPr>
      <w:rPr>
        <w:rFonts w:ascii="Times New Roman" w:eastAsia="Times New Roman" w:hAnsi="Times New Roman" w:cs="Times New Roman" w:hint="default"/>
        <w:b w:val="0"/>
        <w:bCs w:val="0"/>
        <w:i w:val="0"/>
        <w:iCs w:val="0"/>
        <w:color w:val="auto"/>
        <w:spacing w:val="0"/>
        <w:w w:val="100"/>
        <w:sz w:val="24"/>
        <w:szCs w:val="24"/>
        <w:lang w:val="ru-RU" w:eastAsia="en-US" w:bidi="ar-SA"/>
      </w:rPr>
    </w:lvl>
    <w:lvl w:ilvl="2">
      <w:numFmt w:val="bullet"/>
      <w:lvlText w:val="•"/>
      <w:lvlJc w:val="left"/>
      <w:pPr>
        <w:ind w:left="2246" w:hanging="379"/>
      </w:pPr>
      <w:rPr>
        <w:rFonts w:hint="default"/>
        <w:lang w:val="ru-RU" w:eastAsia="en-US" w:bidi="ar-SA"/>
      </w:rPr>
    </w:lvl>
    <w:lvl w:ilvl="3">
      <w:numFmt w:val="bullet"/>
      <w:lvlText w:val="•"/>
      <w:lvlJc w:val="left"/>
      <w:pPr>
        <w:ind w:left="3279" w:hanging="379"/>
      </w:pPr>
      <w:rPr>
        <w:rFonts w:hint="default"/>
        <w:lang w:val="ru-RU" w:eastAsia="en-US" w:bidi="ar-SA"/>
      </w:rPr>
    </w:lvl>
    <w:lvl w:ilvl="4">
      <w:numFmt w:val="bullet"/>
      <w:lvlText w:val="•"/>
      <w:lvlJc w:val="left"/>
      <w:pPr>
        <w:ind w:left="4312" w:hanging="379"/>
      </w:pPr>
      <w:rPr>
        <w:rFonts w:hint="default"/>
        <w:lang w:val="ru-RU" w:eastAsia="en-US" w:bidi="ar-SA"/>
      </w:rPr>
    </w:lvl>
    <w:lvl w:ilvl="5">
      <w:numFmt w:val="bullet"/>
      <w:lvlText w:val="•"/>
      <w:lvlJc w:val="left"/>
      <w:pPr>
        <w:ind w:left="5346" w:hanging="379"/>
      </w:pPr>
      <w:rPr>
        <w:rFonts w:hint="default"/>
        <w:lang w:val="ru-RU" w:eastAsia="en-US" w:bidi="ar-SA"/>
      </w:rPr>
    </w:lvl>
    <w:lvl w:ilvl="6">
      <w:numFmt w:val="bullet"/>
      <w:lvlText w:val="•"/>
      <w:lvlJc w:val="left"/>
      <w:pPr>
        <w:ind w:left="6379" w:hanging="379"/>
      </w:pPr>
      <w:rPr>
        <w:rFonts w:hint="default"/>
        <w:lang w:val="ru-RU" w:eastAsia="en-US" w:bidi="ar-SA"/>
      </w:rPr>
    </w:lvl>
    <w:lvl w:ilvl="7">
      <w:numFmt w:val="bullet"/>
      <w:lvlText w:val="•"/>
      <w:lvlJc w:val="left"/>
      <w:pPr>
        <w:ind w:left="7412" w:hanging="379"/>
      </w:pPr>
      <w:rPr>
        <w:rFonts w:hint="default"/>
        <w:lang w:val="ru-RU" w:eastAsia="en-US" w:bidi="ar-SA"/>
      </w:rPr>
    </w:lvl>
    <w:lvl w:ilvl="8">
      <w:numFmt w:val="bullet"/>
      <w:lvlText w:val="•"/>
      <w:lvlJc w:val="left"/>
      <w:pPr>
        <w:ind w:left="8445" w:hanging="379"/>
      </w:pPr>
      <w:rPr>
        <w:rFonts w:hint="default"/>
        <w:lang w:val="ru-RU" w:eastAsia="en-US" w:bidi="ar-SA"/>
      </w:rPr>
    </w:lvl>
  </w:abstractNum>
  <w:abstractNum w:abstractNumId="2" w15:restartNumberingAfterBreak="0">
    <w:nsid w:val="61C80ACF"/>
    <w:multiLevelType w:val="multilevel"/>
    <w:tmpl w:val="CD6AF76C"/>
    <w:lvl w:ilvl="0">
      <w:start w:val="2"/>
      <w:numFmt w:val="decimal"/>
      <w:lvlText w:val="%1"/>
      <w:lvlJc w:val="left"/>
      <w:pPr>
        <w:ind w:left="170" w:hanging="336"/>
      </w:pPr>
      <w:rPr>
        <w:rFonts w:hint="default"/>
        <w:lang w:val="ru-RU" w:eastAsia="en-US" w:bidi="ar-SA"/>
      </w:rPr>
    </w:lvl>
    <w:lvl w:ilvl="1">
      <w:start w:val="6"/>
      <w:numFmt w:val="decimal"/>
      <w:lvlText w:val="%1.%2."/>
      <w:lvlJc w:val="left"/>
      <w:pPr>
        <w:ind w:left="170" w:hanging="336"/>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3."/>
      <w:lvlJc w:val="left"/>
      <w:pPr>
        <w:ind w:left="494" w:hanging="183"/>
      </w:pPr>
      <w:rPr>
        <w:rFonts w:ascii="Times New Roman" w:eastAsia="Times New Roman" w:hAnsi="Times New Roman" w:cs="Times New Roman" w:hint="default"/>
        <w:b/>
        <w:bCs/>
        <w:i/>
        <w:iCs/>
        <w:spacing w:val="0"/>
        <w:w w:val="100"/>
        <w:sz w:val="18"/>
        <w:szCs w:val="18"/>
        <w:lang w:val="ru-RU" w:eastAsia="en-US" w:bidi="ar-SA"/>
      </w:rPr>
    </w:lvl>
    <w:lvl w:ilvl="3">
      <w:numFmt w:val="bullet"/>
      <w:lvlText w:val="•"/>
      <w:lvlJc w:val="left"/>
      <w:pPr>
        <w:ind w:left="2724" w:hanging="183"/>
      </w:pPr>
      <w:rPr>
        <w:rFonts w:hint="default"/>
        <w:lang w:val="ru-RU" w:eastAsia="en-US" w:bidi="ar-SA"/>
      </w:rPr>
    </w:lvl>
    <w:lvl w:ilvl="4">
      <w:numFmt w:val="bullet"/>
      <w:lvlText w:val="•"/>
      <w:lvlJc w:val="left"/>
      <w:pPr>
        <w:ind w:left="3837" w:hanging="183"/>
      </w:pPr>
      <w:rPr>
        <w:rFonts w:hint="default"/>
        <w:lang w:val="ru-RU" w:eastAsia="en-US" w:bidi="ar-SA"/>
      </w:rPr>
    </w:lvl>
    <w:lvl w:ilvl="5">
      <w:numFmt w:val="bullet"/>
      <w:lvlText w:val="•"/>
      <w:lvlJc w:val="left"/>
      <w:pPr>
        <w:ind w:left="4949" w:hanging="183"/>
      </w:pPr>
      <w:rPr>
        <w:rFonts w:hint="default"/>
        <w:lang w:val="ru-RU" w:eastAsia="en-US" w:bidi="ar-SA"/>
      </w:rPr>
    </w:lvl>
    <w:lvl w:ilvl="6">
      <w:numFmt w:val="bullet"/>
      <w:lvlText w:val="•"/>
      <w:lvlJc w:val="left"/>
      <w:pPr>
        <w:ind w:left="6062" w:hanging="183"/>
      </w:pPr>
      <w:rPr>
        <w:rFonts w:hint="default"/>
        <w:lang w:val="ru-RU" w:eastAsia="en-US" w:bidi="ar-SA"/>
      </w:rPr>
    </w:lvl>
    <w:lvl w:ilvl="7">
      <w:numFmt w:val="bullet"/>
      <w:lvlText w:val="•"/>
      <w:lvlJc w:val="left"/>
      <w:pPr>
        <w:ind w:left="7174" w:hanging="183"/>
      </w:pPr>
      <w:rPr>
        <w:rFonts w:hint="default"/>
        <w:lang w:val="ru-RU" w:eastAsia="en-US" w:bidi="ar-SA"/>
      </w:rPr>
    </w:lvl>
    <w:lvl w:ilvl="8">
      <w:numFmt w:val="bullet"/>
      <w:lvlText w:val="•"/>
      <w:lvlJc w:val="left"/>
      <w:pPr>
        <w:ind w:left="8287" w:hanging="183"/>
      </w:pPr>
      <w:rPr>
        <w:rFonts w:hint="default"/>
        <w:lang w:val="ru-RU" w:eastAsia="en-US" w:bidi="ar-SA"/>
      </w:rPr>
    </w:lvl>
  </w:abstractNum>
  <w:abstractNum w:abstractNumId="3" w15:restartNumberingAfterBreak="0">
    <w:nsid w:val="6436299B"/>
    <w:multiLevelType w:val="multilevel"/>
    <w:tmpl w:val="A3D243F8"/>
    <w:lvl w:ilvl="0">
      <w:start w:val="3"/>
      <w:numFmt w:val="decimal"/>
      <w:lvlText w:val="%1"/>
      <w:lvlJc w:val="left"/>
      <w:pPr>
        <w:ind w:left="487" w:hanging="318"/>
      </w:pPr>
      <w:rPr>
        <w:rFonts w:hint="default"/>
        <w:lang w:val="ru-RU" w:eastAsia="en-US" w:bidi="ar-SA"/>
      </w:rPr>
    </w:lvl>
    <w:lvl w:ilvl="1">
      <w:start w:val="1"/>
      <w:numFmt w:val="decimal"/>
      <w:lvlText w:val="%1.%2."/>
      <w:lvlJc w:val="left"/>
      <w:pPr>
        <w:ind w:left="487" w:hanging="318"/>
      </w:pPr>
      <w:rPr>
        <w:rFonts w:ascii="Times New Roman" w:eastAsia="Times New Roman" w:hAnsi="Times New Roman" w:cs="Times New Roman" w:hint="default"/>
        <w:b w:val="0"/>
        <w:bCs w:val="0"/>
        <w:i w:val="0"/>
        <w:iCs w:val="0"/>
        <w:spacing w:val="0"/>
        <w:w w:val="100"/>
        <w:sz w:val="18"/>
        <w:szCs w:val="18"/>
        <w:lang w:val="ru-RU" w:eastAsia="en-US" w:bidi="ar-SA"/>
      </w:rPr>
    </w:lvl>
    <w:lvl w:ilvl="2">
      <w:numFmt w:val="bullet"/>
      <w:lvlText w:val="•"/>
      <w:lvlJc w:val="left"/>
      <w:pPr>
        <w:ind w:left="2486" w:hanging="318"/>
      </w:pPr>
      <w:rPr>
        <w:rFonts w:hint="default"/>
        <w:lang w:val="ru-RU" w:eastAsia="en-US" w:bidi="ar-SA"/>
      </w:rPr>
    </w:lvl>
    <w:lvl w:ilvl="3">
      <w:numFmt w:val="bullet"/>
      <w:lvlText w:val="•"/>
      <w:lvlJc w:val="left"/>
      <w:pPr>
        <w:ind w:left="3489" w:hanging="318"/>
      </w:pPr>
      <w:rPr>
        <w:rFonts w:hint="default"/>
        <w:lang w:val="ru-RU" w:eastAsia="en-US" w:bidi="ar-SA"/>
      </w:rPr>
    </w:lvl>
    <w:lvl w:ilvl="4">
      <w:numFmt w:val="bullet"/>
      <w:lvlText w:val="•"/>
      <w:lvlJc w:val="left"/>
      <w:pPr>
        <w:ind w:left="4492" w:hanging="318"/>
      </w:pPr>
      <w:rPr>
        <w:rFonts w:hint="default"/>
        <w:lang w:val="ru-RU" w:eastAsia="en-US" w:bidi="ar-SA"/>
      </w:rPr>
    </w:lvl>
    <w:lvl w:ilvl="5">
      <w:numFmt w:val="bullet"/>
      <w:lvlText w:val="•"/>
      <w:lvlJc w:val="left"/>
      <w:pPr>
        <w:ind w:left="5496" w:hanging="318"/>
      </w:pPr>
      <w:rPr>
        <w:rFonts w:hint="default"/>
        <w:lang w:val="ru-RU" w:eastAsia="en-US" w:bidi="ar-SA"/>
      </w:rPr>
    </w:lvl>
    <w:lvl w:ilvl="6">
      <w:numFmt w:val="bullet"/>
      <w:lvlText w:val="•"/>
      <w:lvlJc w:val="left"/>
      <w:pPr>
        <w:ind w:left="6499" w:hanging="318"/>
      </w:pPr>
      <w:rPr>
        <w:rFonts w:hint="default"/>
        <w:lang w:val="ru-RU" w:eastAsia="en-US" w:bidi="ar-SA"/>
      </w:rPr>
    </w:lvl>
    <w:lvl w:ilvl="7">
      <w:numFmt w:val="bullet"/>
      <w:lvlText w:val="•"/>
      <w:lvlJc w:val="left"/>
      <w:pPr>
        <w:ind w:left="7502" w:hanging="318"/>
      </w:pPr>
      <w:rPr>
        <w:rFonts w:hint="default"/>
        <w:lang w:val="ru-RU" w:eastAsia="en-US" w:bidi="ar-SA"/>
      </w:rPr>
    </w:lvl>
    <w:lvl w:ilvl="8">
      <w:numFmt w:val="bullet"/>
      <w:lvlText w:val="•"/>
      <w:lvlJc w:val="left"/>
      <w:pPr>
        <w:ind w:left="8505" w:hanging="318"/>
      </w:pPr>
      <w:rPr>
        <w:rFonts w:hint="default"/>
        <w:lang w:val="ru-RU"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5C9"/>
    <w:rsid w:val="0005276C"/>
    <w:rsid w:val="0013452F"/>
    <w:rsid w:val="001A7AF0"/>
    <w:rsid w:val="002362DD"/>
    <w:rsid w:val="00277DF0"/>
    <w:rsid w:val="002A6A59"/>
    <w:rsid w:val="00307F7D"/>
    <w:rsid w:val="003B7898"/>
    <w:rsid w:val="003D71F3"/>
    <w:rsid w:val="003E35C9"/>
    <w:rsid w:val="003F1D13"/>
    <w:rsid w:val="004A1205"/>
    <w:rsid w:val="0050231D"/>
    <w:rsid w:val="005663E6"/>
    <w:rsid w:val="00635399"/>
    <w:rsid w:val="006C597E"/>
    <w:rsid w:val="00842CD4"/>
    <w:rsid w:val="008652D0"/>
    <w:rsid w:val="009F779C"/>
    <w:rsid w:val="00A90417"/>
    <w:rsid w:val="00BD6D2E"/>
    <w:rsid w:val="00BF30D3"/>
    <w:rsid w:val="00C75B4F"/>
    <w:rsid w:val="00CA5225"/>
    <w:rsid w:val="00CC7231"/>
    <w:rsid w:val="00CD4026"/>
    <w:rsid w:val="00CF17E4"/>
    <w:rsid w:val="00D06322"/>
    <w:rsid w:val="00D5171A"/>
    <w:rsid w:val="00DB61B5"/>
    <w:rsid w:val="00E9630B"/>
    <w:rsid w:val="00EA0F41"/>
    <w:rsid w:val="00EB2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31FB2"/>
  <w15:docId w15:val="{7479FCE5-930A-4F56-ADE4-9A60B266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5" w:right="390"/>
      <w:jc w:val="center"/>
    </w:pPr>
    <w:rPr>
      <w:b/>
      <w:bCs/>
      <w:sz w:val="18"/>
      <w:szCs w:val="18"/>
    </w:rPr>
  </w:style>
  <w:style w:type="paragraph" w:styleId="a4">
    <w:name w:val="List Paragraph"/>
    <w:basedOn w:val="a"/>
    <w:uiPriority w:val="1"/>
    <w:qFormat/>
  </w:style>
  <w:style w:type="paragraph" w:customStyle="1" w:styleId="TableParagraph">
    <w:name w:val="Table Paragraph"/>
    <w:basedOn w:val="a"/>
    <w:uiPriority w:val="1"/>
    <w:qFormat/>
    <w:pPr>
      <w:ind w:left="170"/>
    </w:pPr>
  </w:style>
  <w:style w:type="paragraph" w:styleId="2">
    <w:name w:val="Body Text 2"/>
    <w:basedOn w:val="a"/>
    <w:link w:val="20"/>
    <w:unhideWhenUsed/>
    <w:qFormat/>
    <w:rsid w:val="00CF17E4"/>
    <w:pPr>
      <w:widowControl/>
      <w:autoSpaceDE/>
      <w:autoSpaceDN/>
      <w:spacing w:after="120" w:line="480" w:lineRule="auto"/>
    </w:pPr>
    <w:rPr>
      <w:sz w:val="24"/>
      <w:szCs w:val="24"/>
      <w:lang w:eastAsia="ru-RU"/>
    </w:rPr>
  </w:style>
  <w:style w:type="character" w:customStyle="1" w:styleId="20">
    <w:name w:val="Основной текст 2 Знак"/>
    <w:basedOn w:val="a0"/>
    <w:link w:val="2"/>
    <w:rsid w:val="00CF17E4"/>
    <w:rPr>
      <w:rFonts w:ascii="Times New Roman" w:eastAsia="Times New Roman" w:hAnsi="Times New Roman" w:cs="Times New Roman"/>
      <w:sz w:val="24"/>
      <w:szCs w:val="24"/>
      <w:lang w:val="ru-RU" w:eastAsia="ru-RU"/>
    </w:rPr>
  </w:style>
  <w:style w:type="paragraph" w:styleId="a5">
    <w:name w:val="Balloon Text"/>
    <w:basedOn w:val="a"/>
    <w:link w:val="a6"/>
    <w:uiPriority w:val="99"/>
    <w:semiHidden/>
    <w:unhideWhenUsed/>
    <w:rsid w:val="00D06322"/>
    <w:rPr>
      <w:rFonts w:ascii="Segoe UI" w:hAnsi="Segoe UI" w:cs="Segoe UI"/>
      <w:sz w:val="18"/>
      <w:szCs w:val="18"/>
    </w:rPr>
  </w:style>
  <w:style w:type="character" w:customStyle="1" w:styleId="a6">
    <w:name w:val="Текст выноски Знак"/>
    <w:basedOn w:val="a0"/>
    <w:link w:val="a5"/>
    <w:uiPriority w:val="99"/>
    <w:semiHidden/>
    <w:rsid w:val="00D06322"/>
    <w:rPr>
      <w:rFonts w:ascii="Segoe UI" w:eastAsia="Times New Roman" w:hAnsi="Segoe UI" w:cs="Segoe UI"/>
      <w:sz w:val="18"/>
      <w:szCs w:val="18"/>
      <w:lang w:val="ru-RU"/>
    </w:rPr>
  </w:style>
  <w:style w:type="paragraph" w:styleId="3">
    <w:name w:val="Body Text Indent 3"/>
    <w:basedOn w:val="a"/>
    <w:link w:val="30"/>
    <w:rsid w:val="002A6A59"/>
    <w:pPr>
      <w:widowControl/>
      <w:autoSpaceDE/>
      <w:autoSpaceDN/>
      <w:spacing w:after="120"/>
      <w:ind w:left="283"/>
    </w:pPr>
    <w:rPr>
      <w:sz w:val="16"/>
      <w:szCs w:val="16"/>
      <w:lang w:eastAsia="ru-RU"/>
    </w:rPr>
  </w:style>
  <w:style w:type="character" w:customStyle="1" w:styleId="30">
    <w:name w:val="Основной текст с отступом 3 Знак"/>
    <w:basedOn w:val="a0"/>
    <w:link w:val="3"/>
    <w:rsid w:val="002A6A59"/>
    <w:rPr>
      <w:rFonts w:ascii="Times New Roman" w:eastAsia="Times New Roman" w:hAnsi="Times New Roman" w:cs="Times New Roman"/>
      <w:sz w:val="16"/>
      <w:szCs w:val="16"/>
      <w:lang w:val="ru-RU" w:eastAsia="ru-RU"/>
    </w:rPr>
  </w:style>
  <w:style w:type="character" w:styleId="a7">
    <w:name w:val="Hyperlink"/>
    <w:uiPriority w:val="99"/>
    <w:rsid w:val="002A6A59"/>
    <w:rPr>
      <w:color w:val="0000FF"/>
      <w:u w:val="single"/>
    </w:rPr>
  </w:style>
  <w:style w:type="character" w:customStyle="1" w:styleId="4">
    <w:name w:val="Знак Знак4"/>
    <w:rsid w:val="00BF30D3"/>
    <w:rPr>
      <w:rFonts w:ascii="Arial" w:hAnsi="Arial" w:cs="Arial"/>
      <w:b/>
      <w:bCs/>
      <w:sz w:val="24"/>
      <w:szCs w:val="24"/>
      <w:lang w:val="ru-RU" w:eastAsia="ru-RU" w:bidi="ar-SA"/>
    </w:rPr>
  </w:style>
  <w:style w:type="character" w:customStyle="1" w:styleId="SUBST">
    <w:name w:val="__SUBST"/>
    <w:uiPriority w:val="99"/>
    <w:rsid w:val="008652D0"/>
    <w:rPr>
      <w:b/>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878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vis-reestr.ru" TargetMode="External"/><Relationship Id="rId3" Type="http://schemas.openxmlformats.org/officeDocument/2006/relationships/styles" Target="styles.xml"/><Relationship Id="rId7" Type="http://schemas.openxmlformats.org/officeDocument/2006/relationships/hyperlink" Target="http://www.russnef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disclosure.ru/portal/company.aspx?id=53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ervis-reestr.ru/shareholder-lk/?type=sharehol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6773C-DA6B-407E-940B-D812E71CB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935</Words>
  <Characters>5333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Сообщение о существенном факте</vt:lpstr>
    </vt:vector>
  </TitlesOfParts>
  <Company>Нижневартовский филиала ПАО НК РуссНефть</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Сообщение о существенном факте</dc:title>
  <dc:creator>Shipickaya</dc:creator>
  <cp:lastModifiedBy>Баженова Марина Сергеевна</cp:lastModifiedBy>
  <cp:revision>7</cp:revision>
  <cp:lastPrinted>2026-05-22T12:06:00Z</cp:lastPrinted>
  <dcterms:created xsi:type="dcterms:W3CDTF">2026-05-22T13:00:00Z</dcterms:created>
  <dcterms:modified xsi:type="dcterms:W3CDTF">2026-05-26T07:57:00Z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Microsoft® Word 2013</vt:lpwstr>
  </property>
  <property fmtid="{D5CDD505-2E9C-101B-9397-08002B2CF9AE}" pid="4" name="LastSaved">
    <vt:filetime>2024-07-24T00:00:00Z</vt:filetime>
  </property>
  <property fmtid="{D5CDD505-2E9C-101B-9397-08002B2CF9AE}" pid="5" name="Producer">
    <vt:lpwstr>Microsoft® Word 2013</vt:lpwstr>
  </property>
</Properties>
</file>